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66388" w14:textId="77777777" w:rsidR="003767A8" w:rsidRPr="00B60B16" w:rsidRDefault="003767A8" w:rsidP="003767A8">
      <w:pPr>
        <w:spacing w:line="240" w:lineRule="auto"/>
        <w:jc w:val="center"/>
        <w:rPr>
          <w:rFonts w:asciiTheme="majorHAnsi" w:hAnsiTheme="majorHAnsi" w:cstheme="majorHAnsi"/>
          <w:sz w:val="28"/>
          <w:szCs w:val="28"/>
        </w:rPr>
      </w:pPr>
      <w:bookmarkStart w:id="0" w:name="_GoBack"/>
      <w:bookmarkEnd w:id="0"/>
    </w:p>
    <w:p w14:paraId="0667741E" w14:textId="77777777" w:rsidR="003767A8" w:rsidRPr="00297946" w:rsidRDefault="003767A8" w:rsidP="003767A8">
      <w:pPr>
        <w:spacing w:line="240" w:lineRule="auto"/>
        <w:rPr>
          <w:rFonts w:asciiTheme="majorHAnsi" w:hAnsiTheme="majorHAnsi" w:cstheme="majorHAnsi"/>
          <w:sz w:val="28"/>
          <w:szCs w:val="28"/>
        </w:rPr>
      </w:pPr>
    </w:p>
    <w:p w14:paraId="49DE4657" w14:textId="77777777" w:rsidR="003767A8" w:rsidRPr="00297946" w:rsidRDefault="003767A8" w:rsidP="003767A8">
      <w:pPr>
        <w:spacing w:line="240" w:lineRule="auto"/>
        <w:rPr>
          <w:rFonts w:asciiTheme="majorHAnsi" w:hAnsiTheme="majorHAnsi" w:cstheme="majorHAnsi"/>
          <w:sz w:val="28"/>
          <w:szCs w:val="28"/>
        </w:rPr>
      </w:pPr>
    </w:p>
    <w:p w14:paraId="1DEEB9A6" w14:textId="77777777" w:rsidR="003767A8" w:rsidRPr="00297946" w:rsidRDefault="003767A8" w:rsidP="003767A8">
      <w:pPr>
        <w:spacing w:line="240" w:lineRule="auto"/>
        <w:rPr>
          <w:rFonts w:asciiTheme="majorHAnsi" w:hAnsiTheme="majorHAnsi" w:cstheme="majorHAnsi"/>
          <w:sz w:val="28"/>
          <w:szCs w:val="28"/>
        </w:rPr>
      </w:pPr>
    </w:p>
    <w:p w14:paraId="6A54E028" w14:textId="77777777" w:rsidR="003767A8" w:rsidRPr="00297946" w:rsidRDefault="003767A8" w:rsidP="003767A8">
      <w:pPr>
        <w:spacing w:line="240" w:lineRule="auto"/>
        <w:rPr>
          <w:rFonts w:asciiTheme="majorHAnsi" w:hAnsiTheme="majorHAnsi" w:cstheme="majorHAnsi"/>
          <w:sz w:val="28"/>
          <w:szCs w:val="28"/>
        </w:rPr>
      </w:pPr>
    </w:p>
    <w:p w14:paraId="552849FA" w14:textId="77777777" w:rsidR="003767A8" w:rsidRPr="00297946" w:rsidRDefault="003767A8" w:rsidP="003767A8">
      <w:pPr>
        <w:spacing w:line="240" w:lineRule="auto"/>
        <w:rPr>
          <w:rFonts w:asciiTheme="majorHAnsi" w:hAnsiTheme="majorHAnsi" w:cstheme="majorHAnsi"/>
          <w:sz w:val="28"/>
          <w:szCs w:val="28"/>
        </w:rPr>
      </w:pPr>
    </w:p>
    <w:p w14:paraId="05AAE7CC" w14:textId="77777777" w:rsidR="003767A8" w:rsidRPr="00297946" w:rsidRDefault="003767A8" w:rsidP="003767A8">
      <w:pPr>
        <w:spacing w:line="240" w:lineRule="auto"/>
        <w:rPr>
          <w:rFonts w:asciiTheme="majorHAnsi" w:hAnsiTheme="majorHAnsi" w:cstheme="majorHAnsi"/>
          <w:sz w:val="28"/>
          <w:szCs w:val="28"/>
        </w:rPr>
      </w:pPr>
    </w:p>
    <w:p w14:paraId="088B26C6" w14:textId="77777777" w:rsidR="003767A8" w:rsidRPr="00297946" w:rsidRDefault="003767A8" w:rsidP="003767A8">
      <w:pPr>
        <w:spacing w:line="240" w:lineRule="auto"/>
        <w:rPr>
          <w:rFonts w:asciiTheme="majorHAnsi" w:hAnsiTheme="majorHAnsi" w:cstheme="majorHAnsi"/>
          <w:sz w:val="28"/>
          <w:szCs w:val="28"/>
        </w:rPr>
      </w:pPr>
    </w:p>
    <w:p w14:paraId="5D5B2D1B" w14:textId="77777777" w:rsidR="003767A8" w:rsidRPr="00297946" w:rsidRDefault="003767A8" w:rsidP="003767A8">
      <w:pPr>
        <w:spacing w:line="240" w:lineRule="auto"/>
        <w:rPr>
          <w:rFonts w:asciiTheme="majorHAnsi" w:hAnsiTheme="majorHAnsi" w:cstheme="majorHAnsi"/>
          <w:sz w:val="28"/>
          <w:szCs w:val="28"/>
        </w:rPr>
      </w:pPr>
    </w:p>
    <w:p w14:paraId="0DDE40F9" w14:textId="77777777" w:rsidR="003767A8" w:rsidRPr="00297946" w:rsidRDefault="003767A8" w:rsidP="003767A8">
      <w:pPr>
        <w:spacing w:line="240" w:lineRule="auto"/>
        <w:rPr>
          <w:rFonts w:asciiTheme="majorHAnsi" w:hAnsiTheme="majorHAnsi" w:cstheme="majorHAnsi"/>
          <w:sz w:val="28"/>
          <w:szCs w:val="28"/>
        </w:rPr>
      </w:pPr>
    </w:p>
    <w:p w14:paraId="226F53F8" w14:textId="77777777" w:rsidR="003767A8" w:rsidRPr="00297946" w:rsidRDefault="003767A8" w:rsidP="003767A8">
      <w:pPr>
        <w:spacing w:line="240" w:lineRule="auto"/>
        <w:rPr>
          <w:rFonts w:asciiTheme="majorHAnsi" w:hAnsiTheme="majorHAnsi" w:cstheme="majorHAnsi"/>
          <w:sz w:val="28"/>
          <w:szCs w:val="28"/>
        </w:rPr>
      </w:pPr>
    </w:p>
    <w:p w14:paraId="23F51DD3" w14:textId="0AB6F89B" w:rsidR="003767A8" w:rsidRPr="005111FD" w:rsidRDefault="00DA4F82" w:rsidP="003767A8">
      <w:pPr>
        <w:spacing w:line="240" w:lineRule="auto"/>
        <w:jc w:val="center"/>
        <w:rPr>
          <w:rFonts w:asciiTheme="majorHAnsi" w:hAnsiTheme="majorHAnsi" w:cstheme="majorHAnsi"/>
          <w:b/>
          <w:caps/>
          <w:sz w:val="40"/>
          <w:szCs w:val="36"/>
        </w:rPr>
      </w:pPr>
      <w:r>
        <w:rPr>
          <w:rFonts w:asciiTheme="majorHAnsi" w:hAnsiTheme="majorHAnsi" w:cstheme="majorHAnsi"/>
          <w:b/>
          <w:caps/>
          <w:sz w:val="40"/>
          <w:szCs w:val="36"/>
        </w:rPr>
        <w:t>Finanční analýza firmy kostelecké uzeniny a.s.</w:t>
      </w:r>
    </w:p>
    <w:p w14:paraId="0D85DB22" w14:textId="1F5C496B" w:rsidR="003767A8" w:rsidRPr="00297946" w:rsidRDefault="003767A8" w:rsidP="003767A8">
      <w:pPr>
        <w:spacing w:line="240" w:lineRule="auto"/>
        <w:jc w:val="center"/>
        <w:rPr>
          <w:rFonts w:asciiTheme="majorHAnsi" w:hAnsiTheme="majorHAnsi" w:cstheme="majorHAnsi"/>
          <w:sz w:val="28"/>
          <w:szCs w:val="28"/>
        </w:rPr>
      </w:pPr>
      <w:r>
        <w:rPr>
          <w:rFonts w:asciiTheme="majorHAnsi" w:hAnsiTheme="majorHAnsi" w:cstheme="majorHAnsi"/>
          <w:sz w:val="28"/>
          <w:szCs w:val="28"/>
        </w:rPr>
        <w:t>Seminární práce</w:t>
      </w:r>
    </w:p>
    <w:p w14:paraId="633452A9" w14:textId="77777777" w:rsidR="003767A8" w:rsidRPr="00297946" w:rsidRDefault="003767A8" w:rsidP="003767A8">
      <w:pPr>
        <w:spacing w:line="240" w:lineRule="auto"/>
        <w:rPr>
          <w:rFonts w:asciiTheme="majorHAnsi" w:hAnsiTheme="majorHAnsi" w:cstheme="majorHAnsi"/>
          <w:sz w:val="28"/>
          <w:szCs w:val="28"/>
        </w:rPr>
      </w:pPr>
    </w:p>
    <w:p w14:paraId="6953F6C8" w14:textId="77777777" w:rsidR="003767A8" w:rsidRPr="00297946" w:rsidRDefault="003767A8" w:rsidP="003767A8">
      <w:pPr>
        <w:spacing w:line="240" w:lineRule="auto"/>
        <w:rPr>
          <w:rFonts w:asciiTheme="majorHAnsi" w:hAnsiTheme="majorHAnsi" w:cstheme="majorHAnsi"/>
          <w:sz w:val="28"/>
          <w:szCs w:val="28"/>
        </w:rPr>
      </w:pPr>
    </w:p>
    <w:p w14:paraId="552F4B3E" w14:textId="77777777" w:rsidR="003767A8" w:rsidRPr="00297946" w:rsidRDefault="003767A8" w:rsidP="003767A8">
      <w:pPr>
        <w:spacing w:line="240" w:lineRule="auto"/>
        <w:rPr>
          <w:rFonts w:asciiTheme="majorHAnsi" w:hAnsiTheme="majorHAnsi" w:cstheme="majorHAnsi"/>
          <w:sz w:val="28"/>
          <w:szCs w:val="28"/>
        </w:rPr>
      </w:pPr>
    </w:p>
    <w:p w14:paraId="79C3C78B" w14:textId="77777777" w:rsidR="00487F85" w:rsidRPr="00297946" w:rsidRDefault="00487F85" w:rsidP="0034605D">
      <w:pPr>
        <w:spacing w:after="0" w:line="360" w:lineRule="auto"/>
        <w:rPr>
          <w:rFonts w:asciiTheme="majorHAnsi" w:hAnsiTheme="majorHAnsi" w:cstheme="majorHAnsi"/>
          <w:sz w:val="28"/>
          <w:szCs w:val="28"/>
        </w:rPr>
      </w:pPr>
    </w:p>
    <w:p w14:paraId="66CB11C2" w14:textId="77777777" w:rsidR="00487F85" w:rsidRPr="00297946" w:rsidRDefault="00487F85" w:rsidP="00487F85">
      <w:pPr>
        <w:spacing w:after="0" w:line="360" w:lineRule="auto"/>
        <w:jc w:val="center"/>
        <w:rPr>
          <w:rFonts w:asciiTheme="majorHAnsi" w:hAnsiTheme="majorHAnsi" w:cstheme="majorHAnsi"/>
          <w:sz w:val="28"/>
          <w:szCs w:val="28"/>
        </w:rPr>
      </w:pPr>
    </w:p>
    <w:p w14:paraId="17753FD5" w14:textId="77777777" w:rsidR="00487F85" w:rsidRPr="00297946" w:rsidRDefault="00487F85" w:rsidP="00487F85">
      <w:pPr>
        <w:spacing w:after="0" w:line="360" w:lineRule="auto"/>
        <w:jc w:val="center"/>
        <w:rPr>
          <w:rFonts w:asciiTheme="majorHAnsi" w:hAnsiTheme="majorHAnsi" w:cstheme="majorHAnsi"/>
          <w:sz w:val="28"/>
          <w:szCs w:val="28"/>
        </w:rPr>
      </w:pPr>
    </w:p>
    <w:p w14:paraId="081E87A1" w14:textId="3ABB9B13" w:rsidR="00487F85" w:rsidRDefault="00487F85" w:rsidP="00487F85">
      <w:pPr>
        <w:tabs>
          <w:tab w:val="left" w:pos="1985"/>
        </w:tabs>
        <w:spacing w:after="0" w:line="360" w:lineRule="auto"/>
        <w:jc w:val="left"/>
        <w:rPr>
          <w:rFonts w:asciiTheme="majorHAnsi" w:hAnsiTheme="majorHAnsi" w:cstheme="majorHAnsi"/>
          <w:sz w:val="28"/>
          <w:szCs w:val="28"/>
        </w:rPr>
      </w:pPr>
      <w:r w:rsidRPr="00297946">
        <w:rPr>
          <w:rFonts w:asciiTheme="majorHAnsi" w:hAnsiTheme="majorHAnsi" w:cstheme="majorHAnsi"/>
          <w:sz w:val="28"/>
          <w:szCs w:val="28"/>
        </w:rPr>
        <w:t xml:space="preserve">Autor práce: </w:t>
      </w:r>
      <w:r w:rsidRPr="00297946">
        <w:rPr>
          <w:rFonts w:asciiTheme="majorHAnsi" w:hAnsiTheme="majorHAnsi" w:cstheme="majorHAnsi"/>
          <w:sz w:val="28"/>
          <w:szCs w:val="28"/>
        </w:rPr>
        <w:tab/>
      </w:r>
    </w:p>
    <w:p w14:paraId="07E84B27" w14:textId="02776DCA" w:rsidR="00487F85" w:rsidRPr="00297946" w:rsidRDefault="00487F85" w:rsidP="00487F85">
      <w:pPr>
        <w:tabs>
          <w:tab w:val="left" w:pos="1985"/>
        </w:tabs>
        <w:spacing w:after="0" w:line="360" w:lineRule="auto"/>
        <w:jc w:val="left"/>
        <w:rPr>
          <w:rFonts w:asciiTheme="majorHAnsi" w:hAnsiTheme="majorHAnsi" w:cstheme="majorHAnsi"/>
          <w:sz w:val="28"/>
          <w:szCs w:val="28"/>
        </w:rPr>
      </w:pPr>
      <w:r>
        <w:rPr>
          <w:rFonts w:asciiTheme="majorHAnsi" w:hAnsiTheme="majorHAnsi" w:cstheme="majorHAnsi"/>
          <w:sz w:val="28"/>
          <w:szCs w:val="28"/>
        </w:rPr>
        <w:t>Předmět:</w:t>
      </w:r>
      <w:r>
        <w:rPr>
          <w:rFonts w:asciiTheme="majorHAnsi" w:hAnsiTheme="majorHAnsi" w:cstheme="majorHAnsi"/>
          <w:sz w:val="28"/>
          <w:szCs w:val="28"/>
        </w:rPr>
        <w:tab/>
      </w:r>
    </w:p>
    <w:p w14:paraId="1645D646" w14:textId="4A3906B0" w:rsidR="00487F85" w:rsidRPr="00297946" w:rsidRDefault="00487F85" w:rsidP="00487F85">
      <w:pPr>
        <w:tabs>
          <w:tab w:val="left" w:pos="1985"/>
        </w:tabs>
        <w:spacing w:after="0" w:line="360" w:lineRule="auto"/>
        <w:jc w:val="left"/>
        <w:rPr>
          <w:rFonts w:asciiTheme="majorHAnsi" w:hAnsiTheme="majorHAnsi" w:cstheme="majorHAnsi"/>
          <w:sz w:val="28"/>
          <w:szCs w:val="28"/>
        </w:rPr>
      </w:pPr>
      <w:r>
        <w:rPr>
          <w:rFonts w:asciiTheme="majorHAnsi" w:hAnsiTheme="majorHAnsi" w:cstheme="majorHAnsi"/>
          <w:sz w:val="28"/>
          <w:szCs w:val="28"/>
        </w:rPr>
        <w:t>Vyučující</w:t>
      </w:r>
      <w:r w:rsidRPr="00297946">
        <w:rPr>
          <w:rFonts w:asciiTheme="majorHAnsi" w:hAnsiTheme="majorHAnsi" w:cstheme="majorHAnsi"/>
          <w:sz w:val="28"/>
          <w:szCs w:val="28"/>
        </w:rPr>
        <w:t xml:space="preserve">: </w:t>
      </w:r>
      <w:r w:rsidRPr="00297946">
        <w:rPr>
          <w:rFonts w:asciiTheme="majorHAnsi" w:hAnsiTheme="majorHAnsi" w:cstheme="majorHAnsi"/>
          <w:sz w:val="28"/>
          <w:szCs w:val="28"/>
        </w:rPr>
        <w:tab/>
      </w:r>
    </w:p>
    <w:p w14:paraId="103A0A68" w14:textId="77777777" w:rsidR="00487F85" w:rsidRPr="00297946" w:rsidRDefault="00487F85" w:rsidP="00487F85">
      <w:pPr>
        <w:spacing w:after="0" w:line="360" w:lineRule="auto"/>
        <w:jc w:val="center"/>
        <w:rPr>
          <w:rFonts w:asciiTheme="majorHAnsi" w:hAnsiTheme="majorHAnsi" w:cstheme="majorHAnsi"/>
          <w:sz w:val="28"/>
          <w:szCs w:val="28"/>
        </w:rPr>
      </w:pPr>
    </w:p>
    <w:p w14:paraId="1DADFC7E" w14:textId="77777777" w:rsidR="00487F85" w:rsidRPr="00297946" w:rsidRDefault="00487F85" w:rsidP="00487F85">
      <w:pPr>
        <w:spacing w:after="0" w:line="360" w:lineRule="auto"/>
        <w:jc w:val="center"/>
        <w:rPr>
          <w:rFonts w:asciiTheme="majorHAnsi" w:hAnsiTheme="majorHAnsi" w:cstheme="majorHAnsi"/>
          <w:sz w:val="28"/>
          <w:szCs w:val="28"/>
        </w:rPr>
      </w:pPr>
    </w:p>
    <w:p w14:paraId="5DF58720" w14:textId="1A805A46" w:rsidR="0034605D" w:rsidRDefault="0069017C" w:rsidP="0034605D">
      <w:pPr>
        <w:spacing w:after="0" w:line="360" w:lineRule="auto"/>
        <w:jc w:val="center"/>
        <w:rPr>
          <w:rFonts w:asciiTheme="majorHAnsi" w:hAnsiTheme="majorHAnsi" w:cstheme="majorHAnsi"/>
          <w:sz w:val="28"/>
          <w:szCs w:val="28"/>
        </w:rPr>
      </w:pPr>
      <w:r>
        <w:rPr>
          <w:rFonts w:asciiTheme="majorHAnsi" w:hAnsiTheme="majorHAnsi" w:cstheme="majorHAnsi"/>
          <w:sz w:val="28"/>
          <w:szCs w:val="28"/>
        </w:rPr>
        <w:t>Praha</w:t>
      </w:r>
      <w:r w:rsidR="00487F85" w:rsidRPr="00487F85">
        <w:rPr>
          <w:rFonts w:asciiTheme="majorHAnsi" w:hAnsiTheme="majorHAnsi" w:cstheme="majorHAnsi"/>
          <w:sz w:val="28"/>
          <w:szCs w:val="28"/>
        </w:rPr>
        <w:t xml:space="preserve"> </w:t>
      </w:r>
      <w:r w:rsidR="00487F85" w:rsidRPr="00487F85">
        <w:rPr>
          <w:rFonts w:asciiTheme="majorHAnsi" w:hAnsiTheme="majorHAnsi" w:cstheme="majorHAnsi"/>
          <w:sz w:val="28"/>
          <w:szCs w:val="28"/>
        </w:rPr>
        <w:fldChar w:fldCharType="begin"/>
      </w:r>
      <w:r w:rsidR="00487F85" w:rsidRPr="00487F85">
        <w:rPr>
          <w:rFonts w:asciiTheme="majorHAnsi" w:hAnsiTheme="majorHAnsi" w:cstheme="majorHAnsi"/>
          <w:sz w:val="28"/>
          <w:szCs w:val="28"/>
        </w:rPr>
        <w:instrText xml:space="preserve"> DATE  \@ "dd. MM. yyyy"  \* MERGEFORMAT </w:instrText>
      </w:r>
      <w:r w:rsidR="00487F85" w:rsidRPr="00487F85">
        <w:rPr>
          <w:rFonts w:asciiTheme="majorHAnsi" w:hAnsiTheme="majorHAnsi" w:cstheme="majorHAnsi"/>
          <w:sz w:val="28"/>
          <w:szCs w:val="28"/>
        </w:rPr>
        <w:fldChar w:fldCharType="separate"/>
      </w:r>
      <w:r>
        <w:rPr>
          <w:rFonts w:asciiTheme="majorHAnsi" w:hAnsiTheme="majorHAnsi" w:cstheme="majorHAnsi"/>
          <w:noProof/>
          <w:sz w:val="28"/>
          <w:szCs w:val="28"/>
        </w:rPr>
        <w:t>23. 10. 2025</w:t>
      </w:r>
      <w:r w:rsidR="00487F85" w:rsidRPr="00487F85">
        <w:rPr>
          <w:rFonts w:asciiTheme="majorHAnsi" w:hAnsiTheme="majorHAnsi" w:cstheme="majorHAnsi"/>
          <w:sz w:val="28"/>
          <w:szCs w:val="28"/>
        </w:rPr>
        <w:fldChar w:fldCharType="end"/>
      </w:r>
    </w:p>
    <w:p w14:paraId="51C52BFD" w14:textId="77777777" w:rsidR="0034605D" w:rsidRDefault="0034605D">
      <w:pPr>
        <w:spacing w:after="160" w:line="259" w:lineRule="auto"/>
        <w:jc w:val="left"/>
        <w:rPr>
          <w:rFonts w:asciiTheme="majorHAnsi" w:hAnsiTheme="majorHAnsi" w:cstheme="majorHAnsi"/>
          <w:sz w:val="28"/>
          <w:szCs w:val="28"/>
        </w:rPr>
      </w:pPr>
      <w:r>
        <w:rPr>
          <w:rFonts w:asciiTheme="majorHAnsi" w:hAnsiTheme="majorHAnsi" w:cstheme="majorHAnsi"/>
          <w:sz w:val="28"/>
          <w:szCs w:val="28"/>
        </w:rPr>
        <w:br w:type="page"/>
      </w:r>
    </w:p>
    <w:p w14:paraId="688519DE" w14:textId="77777777" w:rsidR="0034605D" w:rsidRPr="0034605D" w:rsidRDefault="0034605D" w:rsidP="0034605D">
      <w:pPr>
        <w:spacing w:after="0" w:line="360" w:lineRule="auto"/>
        <w:jc w:val="center"/>
        <w:rPr>
          <w:rFonts w:asciiTheme="majorHAnsi" w:hAnsiTheme="majorHAnsi" w:cstheme="majorHAnsi"/>
          <w:sz w:val="28"/>
          <w:szCs w:val="28"/>
        </w:rPr>
        <w:sectPr w:rsidR="0034605D" w:rsidRPr="0034605D">
          <w:footerReference w:type="default" r:id="rId11"/>
          <w:pgSz w:w="11906" w:h="16838"/>
          <w:pgMar w:top="1417" w:right="1417" w:bottom="1417" w:left="1417" w:header="708" w:footer="708" w:gutter="0"/>
          <w:cols w:space="708"/>
          <w:docGrid w:linePitch="360"/>
        </w:sectPr>
      </w:pPr>
    </w:p>
    <w:p w14:paraId="6E133EE5" w14:textId="6092C9B5" w:rsidR="003A32BA" w:rsidRPr="00B830E6" w:rsidRDefault="003A32BA" w:rsidP="0034605D">
      <w:pPr>
        <w:pStyle w:val="Nadpis1"/>
        <w:numPr>
          <w:ilvl w:val="0"/>
          <w:numId w:val="0"/>
        </w:numPr>
      </w:pPr>
      <w:bookmarkStart w:id="1" w:name="_Toc200479667"/>
      <w:r w:rsidRPr="00B830E6">
        <w:lastRenderedPageBreak/>
        <w:t>Úvod</w:t>
      </w:r>
      <w:bookmarkEnd w:id="1"/>
    </w:p>
    <w:p w14:paraId="01EBC43F" w14:textId="69CFA3D0" w:rsidR="00EB332B" w:rsidRDefault="00EB332B" w:rsidP="002A5CC1">
      <w:r>
        <w:t>V</w:t>
      </w:r>
      <w:r w:rsidR="00836F8D">
        <w:t> rámci seminární práce z předmětu Finanční řízení podniku jsem se rozhodla analyzovat společnost Kostelecké uzeniny a.s., která patří mezi nejvýznamnější producenty masných výrobků na českém trhu. Cílem této práce je zhodnotit finanční situaci firmy na základě údajů z jejích účetních výkazů a pomocí vybraných metod finanční analýzy. Výsledkem bude vlastní rating společnosti, který umožní posoudit její celkové finanční zdraví.</w:t>
      </w:r>
    </w:p>
    <w:p w14:paraId="46D8E251" w14:textId="2C156314" w:rsidR="00C90F45" w:rsidRDefault="00C90F45" w:rsidP="002A5CC1"/>
    <w:p w14:paraId="2220E409" w14:textId="77777777" w:rsidR="00C90F45" w:rsidRDefault="00C90F45" w:rsidP="002A5CC1">
      <w:r>
        <w:br w:type="page"/>
      </w:r>
    </w:p>
    <w:p w14:paraId="058184D8" w14:textId="0F50EC93" w:rsidR="003A32BA" w:rsidRDefault="00836F8D" w:rsidP="00B830E6">
      <w:pPr>
        <w:pStyle w:val="Nadpis1"/>
      </w:pPr>
      <w:bookmarkStart w:id="2" w:name="_Toc200479668"/>
      <w:r>
        <w:lastRenderedPageBreak/>
        <w:t>Základní údaje, finanční výkazy</w:t>
      </w:r>
      <w:bookmarkEnd w:id="2"/>
    </w:p>
    <w:p w14:paraId="4AC80CE7" w14:textId="6216B59F" w:rsidR="00836F8D" w:rsidRPr="00836F8D" w:rsidRDefault="00836F8D" w:rsidP="00836F8D">
      <w:r>
        <w:rPr>
          <w:noProof/>
        </w:rPr>
        <w:drawing>
          <wp:inline distT="0" distB="0" distL="0" distR="0" wp14:anchorId="1C428921" wp14:editId="622F08BC">
            <wp:extent cx="5772150" cy="8225312"/>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ímek obrazovky 2025-05-27 090039.png"/>
                    <pic:cNvPicPr/>
                  </pic:nvPicPr>
                  <pic:blipFill rotWithShape="1">
                    <a:blip r:embed="rId12" cstate="print">
                      <a:extLst>
                        <a:ext uri="{28A0092B-C50C-407E-A947-70E740481C1C}">
                          <a14:useLocalDpi xmlns:a14="http://schemas.microsoft.com/office/drawing/2010/main" val="0"/>
                        </a:ext>
                      </a:extLst>
                    </a:blip>
                    <a:srcRect l="40344" t="12306" r="26587" b="19"/>
                    <a:stretch/>
                  </pic:blipFill>
                  <pic:spPr bwMode="auto">
                    <a:xfrm>
                      <a:off x="0" y="0"/>
                      <a:ext cx="5780202" cy="8236786"/>
                    </a:xfrm>
                    <a:prstGeom prst="rect">
                      <a:avLst/>
                    </a:prstGeom>
                    <a:ln>
                      <a:noFill/>
                    </a:ln>
                    <a:extLst>
                      <a:ext uri="{53640926-AAD7-44D8-BBD7-CCE9431645EC}">
                        <a14:shadowObscured xmlns:a14="http://schemas.microsoft.com/office/drawing/2010/main"/>
                      </a:ext>
                    </a:extLst>
                  </pic:spPr>
                </pic:pic>
              </a:graphicData>
            </a:graphic>
          </wp:inline>
        </w:drawing>
      </w:r>
    </w:p>
    <w:p w14:paraId="33C6C732" w14:textId="45B92094" w:rsidR="00901DA1" w:rsidRDefault="00901DA1" w:rsidP="00901DA1">
      <w:pPr>
        <w:pStyle w:val="Nadpis2"/>
        <w:numPr>
          <w:ilvl w:val="0"/>
          <w:numId w:val="0"/>
        </w:numPr>
        <w:ind w:left="576" w:hanging="576"/>
        <w:rPr>
          <w:color w:val="5B9BD5" w:themeColor="accent1"/>
        </w:rPr>
      </w:pPr>
      <w:bookmarkStart w:id="3" w:name="_Toc200479669"/>
      <w:r>
        <w:rPr>
          <w:noProof/>
        </w:rPr>
        <w:lastRenderedPageBreak/>
        <w:drawing>
          <wp:inline distT="0" distB="0" distL="0" distR="0" wp14:anchorId="7600919A" wp14:editId="265F659F">
            <wp:extent cx="5819775" cy="858166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ímek obrazovky 2025-05-27 090103.png"/>
                    <pic:cNvPicPr/>
                  </pic:nvPicPr>
                  <pic:blipFill rotWithShape="1">
                    <a:blip r:embed="rId13">
                      <a:extLst>
                        <a:ext uri="{28A0092B-C50C-407E-A947-70E740481C1C}">
                          <a14:useLocalDpi xmlns:a14="http://schemas.microsoft.com/office/drawing/2010/main" val="0"/>
                        </a:ext>
                      </a:extLst>
                    </a:blip>
                    <a:srcRect l="41336" t="11998" r="26587"/>
                    <a:stretch/>
                  </pic:blipFill>
                  <pic:spPr bwMode="auto">
                    <a:xfrm>
                      <a:off x="0" y="0"/>
                      <a:ext cx="5836022" cy="8605626"/>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3220A4B5" w14:textId="2F68EAA9" w:rsidR="00A556BE" w:rsidRPr="00901DA1" w:rsidRDefault="00901DA1" w:rsidP="00901DA1">
      <w:pPr>
        <w:pStyle w:val="Nadpis2"/>
        <w:numPr>
          <w:ilvl w:val="0"/>
          <w:numId w:val="0"/>
        </w:numPr>
        <w:ind w:left="576" w:hanging="576"/>
      </w:pPr>
      <w:bookmarkStart w:id="4" w:name="_Toc200479670"/>
      <w:r>
        <w:rPr>
          <w:noProof/>
          <w:color w:val="5B9BD5" w:themeColor="accent1"/>
        </w:rPr>
        <w:lastRenderedPageBreak/>
        <w:drawing>
          <wp:inline distT="0" distB="0" distL="0" distR="0" wp14:anchorId="696E8154" wp14:editId="3C058DE6">
            <wp:extent cx="5867400" cy="8417842"/>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ímek obrazovky 2025-05-27 090039.png"/>
                    <pic:cNvPicPr/>
                  </pic:nvPicPr>
                  <pic:blipFill rotWithShape="1">
                    <a:blip r:embed="rId12">
                      <a:extLst>
                        <a:ext uri="{28A0092B-C50C-407E-A947-70E740481C1C}">
                          <a14:useLocalDpi xmlns:a14="http://schemas.microsoft.com/office/drawing/2010/main" val="0"/>
                        </a:ext>
                      </a:extLst>
                    </a:blip>
                    <a:srcRect l="41171" t="12613" r="26091"/>
                    <a:stretch/>
                  </pic:blipFill>
                  <pic:spPr bwMode="auto">
                    <a:xfrm>
                      <a:off x="0" y="0"/>
                      <a:ext cx="5867400" cy="8417842"/>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65125AD7" w14:textId="0C33C7FE" w:rsidR="00064EFC" w:rsidRDefault="00064EFC" w:rsidP="00990AFB">
      <w:pPr>
        <w:rPr>
          <w:noProof/>
        </w:rPr>
      </w:pPr>
    </w:p>
    <w:p w14:paraId="339F10FF" w14:textId="31405C00" w:rsidR="00064EFC" w:rsidRDefault="00064EFC" w:rsidP="00064EFC">
      <w:r>
        <w:rPr>
          <w:noProof/>
        </w:rPr>
        <w:lastRenderedPageBreak/>
        <w:drawing>
          <wp:inline distT="0" distB="0" distL="0" distR="0" wp14:anchorId="113F80EB" wp14:editId="3D7143C5">
            <wp:extent cx="6205220" cy="8981792"/>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ímek obrazovky 2025-05-27 092313.png"/>
                    <pic:cNvPicPr/>
                  </pic:nvPicPr>
                  <pic:blipFill rotWithShape="1">
                    <a:blip r:embed="rId14">
                      <a:extLst>
                        <a:ext uri="{28A0092B-C50C-407E-A947-70E740481C1C}">
                          <a14:useLocalDpi xmlns:a14="http://schemas.microsoft.com/office/drawing/2010/main" val="0"/>
                        </a:ext>
                      </a:extLst>
                    </a:blip>
                    <a:srcRect l="43132" t="18473" r="28042" b="9103"/>
                    <a:stretch/>
                  </pic:blipFill>
                  <pic:spPr bwMode="auto">
                    <a:xfrm>
                      <a:off x="0" y="0"/>
                      <a:ext cx="6264484" cy="906757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D163C5" wp14:editId="27E86B5B">
            <wp:extent cx="6102144" cy="45910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ímek obrazovky 2025-05-27 092521.png"/>
                    <pic:cNvPicPr/>
                  </pic:nvPicPr>
                  <pic:blipFill rotWithShape="1">
                    <a:blip r:embed="rId15">
                      <a:extLst>
                        <a:ext uri="{28A0092B-C50C-407E-A947-70E740481C1C}">
                          <a14:useLocalDpi xmlns:a14="http://schemas.microsoft.com/office/drawing/2010/main" val="0"/>
                        </a:ext>
                      </a:extLst>
                    </a:blip>
                    <a:srcRect l="42824" t="15689" r="27249" b="45549"/>
                    <a:stretch/>
                  </pic:blipFill>
                  <pic:spPr bwMode="auto">
                    <a:xfrm>
                      <a:off x="0" y="0"/>
                      <a:ext cx="6265008" cy="4713584"/>
                    </a:xfrm>
                    <a:prstGeom prst="rect">
                      <a:avLst/>
                    </a:prstGeom>
                    <a:ln>
                      <a:noFill/>
                    </a:ln>
                    <a:extLst>
                      <a:ext uri="{53640926-AAD7-44D8-BBD7-CCE9431645EC}">
                        <a14:shadowObscured xmlns:a14="http://schemas.microsoft.com/office/drawing/2010/main"/>
                      </a:ext>
                    </a:extLst>
                  </pic:spPr>
                </pic:pic>
              </a:graphicData>
            </a:graphic>
          </wp:inline>
        </w:drawing>
      </w:r>
    </w:p>
    <w:p w14:paraId="45CEED57" w14:textId="3081E355" w:rsidR="005D11AB" w:rsidRPr="00BE2BB8" w:rsidRDefault="00064EFC" w:rsidP="00BE2BB8">
      <w:pPr>
        <w:pStyle w:val="Nadpis1"/>
        <w:numPr>
          <w:ilvl w:val="0"/>
          <w:numId w:val="0"/>
        </w:numPr>
        <w:ind w:left="431"/>
        <w:rPr>
          <w:color w:val="5B9BD5" w:themeColor="accent1"/>
        </w:rPr>
      </w:pPr>
      <w:bookmarkStart w:id="5" w:name="_Toc200479671"/>
      <w:r>
        <w:rPr>
          <w:noProof/>
        </w:rPr>
        <w:lastRenderedPageBreak/>
        <w:drawing>
          <wp:inline distT="0" distB="0" distL="0" distR="0" wp14:anchorId="2A4828EA" wp14:editId="63A0F769">
            <wp:extent cx="5810041" cy="9380220"/>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ímek obrazovky 2025-05-27 092702.png"/>
                    <pic:cNvPicPr/>
                  </pic:nvPicPr>
                  <pic:blipFill rotWithShape="1">
                    <a:blip r:embed="rId16">
                      <a:extLst>
                        <a:ext uri="{28A0092B-C50C-407E-A947-70E740481C1C}">
                          <a14:useLocalDpi xmlns:a14="http://schemas.microsoft.com/office/drawing/2010/main" val="0"/>
                        </a:ext>
                      </a:extLst>
                    </a:blip>
                    <a:srcRect l="43982" t="16304" r="30885" b="8327"/>
                    <a:stretch/>
                  </pic:blipFill>
                  <pic:spPr bwMode="auto">
                    <a:xfrm>
                      <a:off x="0" y="0"/>
                      <a:ext cx="5822903" cy="9400985"/>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1637B640" w14:textId="7B9CF516" w:rsidR="008D0CCF" w:rsidRDefault="00BE2BB8" w:rsidP="00BE2BB8">
      <w:r>
        <w:rPr>
          <w:noProof/>
          <w:color w:val="5B9BD5" w:themeColor="accent1"/>
        </w:rPr>
        <w:lastRenderedPageBreak/>
        <w:drawing>
          <wp:inline distT="0" distB="0" distL="0" distR="0" wp14:anchorId="136D2FD4" wp14:editId="485F2238">
            <wp:extent cx="6179737" cy="82105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ímek obrazovky 2025-05-27 093319.png"/>
                    <pic:cNvPicPr/>
                  </pic:nvPicPr>
                  <pic:blipFill rotWithShape="1">
                    <a:blip r:embed="rId17">
                      <a:extLst>
                        <a:ext uri="{28A0092B-C50C-407E-A947-70E740481C1C}">
                          <a14:useLocalDpi xmlns:a14="http://schemas.microsoft.com/office/drawing/2010/main" val="0"/>
                        </a:ext>
                      </a:extLst>
                    </a:blip>
                    <a:srcRect l="38195" t="10460" r="23280" b="636"/>
                    <a:stretch/>
                  </pic:blipFill>
                  <pic:spPr bwMode="auto">
                    <a:xfrm>
                      <a:off x="0" y="0"/>
                      <a:ext cx="6250488" cy="8304552"/>
                    </a:xfrm>
                    <a:prstGeom prst="rect">
                      <a:avLst/>
                    </a:prstGeom>
                    <a:ln>
                      <a:noFill/>
                    </a:ln>
                    <a:extLst>
                      <a:ext uri="{53640926-AAD7-44D8-BBD7-CCE9431645EC}">
                        <a14:shadowObscured xmlns:a14="http://schemas.microsoft.com/office/drawing/2010/main"/>
                      </a:ext>
                    </a:extLst>
                  </pic:spPr>
                </pic:pic>
              </a:graphicData>
            </a:graphic>
          </wp:inline>
        </w:drawing>
      </w:r>
      <w:bookmarkStart w:id="6" w:name="_Toc60053869"/>
      <w:r>
        <w:t xml:space="preserve"> </w:t>
      </w:r>
    </w:p>
    <w:p w14:paraId="4F7338D0" w14:textId="492CEE5B" w:rsidR="00BE2BB8" w:rsidRDefault="00BE2BB8" w:rsidP="00BE2BB8">
      <w:pPr>
        <w:rPr>
          <w:color w:val="5B9BD5" w:themeColor="accent1"/>
        </w:rPr>
      </w:pPr>
    </w:p>
    <w:p w14:paraId="15F07169" w14:textId="286CB9FD" w:rsidR="008D0CCF" w:rsidRDefault="00BE2BB8" w:rsidP="00BE2BB8">
      <w:r>
        <w:rPr>
          <w:noProof/>
        </w:rPr>
        <w:lastRenderedPageBreak/>
        <w:drawing>
          <wp:inline distT="0" distB="0" distL="0" distR="0" wp14:anchorId="7631A539" wp14:editId="698C17F2">
            <wp:extent cx="6124777" cy="26289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ímek obrazovky 2025-05-27 093520.png"/>
                    <pic:cNvPicPr/>
                  </pic:nvPicPr>
                  <pic:blipFill rotWithShape="1">
                    <a:blip r:embed="rId18">
                      <a:extLst>
                        <a:ext uri="{28A0092B-C50C-407E-A947-70E740481C1C}">
                          <a14:useLocalDpi xmlns:a14="http://schemas.microsoft.com/office/drawing/2010/main" val="0"/>
                        </a:ext>
                      </a:extLst>
                    </a:blip>
                    <a:srcRect l="39352" t="13537" r="24438" b="57546"/>
                    <a:stretch/>
                  </pic:blipFill>
                  <pic:spPr bwMode="auto">
                    <a:xfrm>
                      <a:off x="0" y="0"/>
                      <a:ext cx="6155113" cy="2641921"/>
                    </a:xfrm>
                    <a:prstGeom prst="rect">
                      <a:avLst/>
                    </a:prstGeom>
                    <a:ln>
                      <a:noFill/>
                    </a:ln>
                    <a:extLst>
                      <a:ext uri="{53640926-AAD7-44D8-BBD7-CCE9431645EC}">
                        <a14:shadowObscured xmlns:a14="http://schemas.microsoft.com/office/drawing/2010/main"/>
                      </a:ext>
                    </a:extLst>
                  </pic:spPr>
                </pic:pic>
              </a:graphicData>
            </a:graphic>
          </wp:inline>
        </w:drawing>
      </w:r>
    </w:p>
    <w:p w14:paraId="374A852E" w14:textId="77777777" w:rsidR="008D0CCF" w:rsidRDefault="008D0CCF">
      <w:pPr>
        <w:spacing w:after="160" w:line="259" w:lineRule="auto"/>
        <w:jc w:val="left"/>
      </w:pPr>
      <w:r>
        <w:br w:type="page"/>
      </w:r>
    </w:p>
    <w:p w14:paraId="3267C699" w14:textId="7CF028F2" w:rsidR="004C7EF0" w:rsidRDefault="004C7EF0" w:rsidP="004C7EF0">
      <w:pPr>
        <w:pStyle w:val="Nadpis1"/>
      </w:pPr>
      <w:bookmarkStart w:id="7" w:name="_Toc200479672"/>
      <w:bookmarkEnd w:id="6"/>
      <w:r>
        <w:lastRenderedPageBreak/>
        <w:t>Analýzy</w:t>
      </w:r>
      <w:bookmarkEnd w:id="7"/>
    </w:p>
    <w:p w14:paraId="204EA479" w14:textId="2E206648" w:rsidR="004C7EF0" w:rsidRPr="004C7EF0" w:rsidRDefault="004C7EF0" w:rsidP="004C7EF0">
      <w:pPr>
        <w:pStyle w:val="Nadpis2"/>
      </w:pPr>
      <w:bookmarkStart w:id="8" w:name="_Toc200479673"/>
      <w:r>
        <w:t>Horizontální analýza</w:t>
      </w:r>
      <w:bookmarkEnd w:id="8"/>
    </w:p>
    <w:p w14:paraId="156AED2A" w14:textId="5C7F9B72" w:rsidR="00253E4D" w:rsidRPr="00253E4D" w:rsidRDefault="00253E4D" w:rsidP="00253E4D">
      <w:pPr>
        <w:pStyle w:val="Titulek"/>
      </w:pPr>
      <w:r>
        <w:t xml:space="preserve">Tab. 1: </w:t>
      </w:r>
      <w:r w:rsidR="00023B4C">
        <w:t xml:space="preserve">Horizontální </w:t>
      </w:r>
      <w:proofErr w:type="gramStart"/>
      <w:r w:rsidR="00023B4C">
        <w:t>analýza</w:t>
      </w:r>
      <w:r w:rsidR="00DD1057">
        <w:t xml:space="preserve"> - Rozvaha</w:t>
      </w:r>
      <w:proofErr w:type="gramEnd"/>
    </w:p>
    <w:p w14:paraId="36913EF4" w14:textId="733F0AB8" w:rsidR="00A73767" w:rsidRDefault="00312F7A" w:rsidP="00A73767">
      <w:r>
        <w:rPr>
          <w:noProof/>
        </w:rPr>
        <w:drawing>
          <wp:inline distT="0" distB="0" distL="0" distR="0" wp14:anchorId="2FB8F0FB" wp14:editId="694BD432">
            <wp:extent cx="5760720" cy="4743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ímek obrazovky 2025-05-29 085518.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743450"/>
                    </a:xfrm>
                    <a:prstGeom prst="rect">
                      <a:avLst/>
                    </a:prstGeom>
                  </pic:spPr>
                </pic:pic>
              </a:graphicData>
            </a:graphic>
          </wp:inline>
        </w:drawing>
      </w:r>
    </w:p>
    <w:p w14:paraId="548B284F" w14:textId="07D7C199" w:rsidR="00023B4C" w:rsidRPr="00A73767" w:rsidRDefault="00023B4C" w:rsidP="00023B4C">
      <w:pPr>
        <w:pStyle w:val="Zdroj"/>
      </w:pPr>
      <w:r>
        <w:t>Zdroj: Vlastní zpracování na základě Rozvahy KU za rok 2023</w:t>
      </w:r>
    </w:p>
    <w:p w14:paraId="31C1E1B0" w14:textId="27372282" w:rsidR="0078761B" w:rsidRDefault="0078761B" w:rsidP="0078761B">
      <w:pPr>
        <w:pStyle w:val="Zdroj"/>
      </w:pPr>
    </w:p>
    <w:p w14:paraId="0ECC4687" w14:textId="77777777" w:rsidR="00023B4C" w:rsidRDefault="00023B4C" w:rsidP="00023B4C">
      <w:r>
        <w:t>Mezi lety 2022 a 2023 došlo u společnosti Kostelecké uzeniny a.s. k mírnému poklesu celkových aktiv o 2,78 %, přičemž nejvýraznější snížení nastalo u zásob (−10,11 %) a dlouhodobého hmotného majetku (−3,10 %). Naopak krátkodobé pohledávky vzrostly o 9,33 %, což může souviset s vyšší obchodní aktivitou.</w:t>
      </w:r>
    </w:p>
    <w:p w14:paraId="4DBA6A61" w14:textId="77777777" w:rsidR="00023B4C" w:rsidRDefault="00023B4C" w:rsidP="00023B4C">
      <w:r>
        <w:t>Na straně pasiv se zvýšil vlastní kapitál o 9,04 % díky kladnému hospodářskému výsledku běžného období. Významný je rovněž pokles krátkodobých závazků (−13,41 %), který může odrážet lepší likviditu nebo nižší závazkovou angažovanost podniku.</w:t>
      </w:r>
    </w:p>
    <w:p w14:paraId="093394FF" w14:textId="1AE79DDB" w:rsidR="00023B4C" w:rsidRDefault="00023B4C" w:rsidP="00023B4C"/>
    <w:p w14:paraId="429F9C45" w14:textId="003AE860" w:rsidR="00023B4C" w:rsidRDefault="00023B4C" w:rsidP="00023B4C"/>
    <w:p w14:paraId="6EF14E2A" w14:textId="3A50904E" w:rsidR="00023B4C" w:rsidRDefault="00023B4C" w:rsidP="00023B4C"/>
    <w:p w14:paraId="3FBCC98B" w14:textId="488C9EBB" w:rsidR="00023B4C" w:rsidRDefault="00023B4C" w:rsidP="00023B4C"/>
    <w:p w14:paraId="36F8CAB5" w14:textId="77777777" w:rsidR="00023B4C" w:rsidRDefault="00023B4C" w:rsidP="00023B4C"/>
    <w:p w14:paraId="79F8CE98" w14:textId="6D088927" w:rsidR="00023B4C" w:rsidRDefault="001726AB" w:rsidP="00023B4C">
      <w:pPr>
        <w:pStyle w:val="Titulek"/>
      </w:pPr>
      <w:r>
        <w:t>Graf</w:t>
      </w:r>
      <w:r w:rsidR="00023B4C">
        <w:t xml:space="preserve"> 1: Struktura aktiv – Hlavní složky</w:t>
      </w:r>
    </w:p>
    <w:p w14:paraId="4492E813" w14:textId="12BCAA77" w:rsidR="00023B4C" w:rsidRDefault="00023B4C" w:rsidP="00651F81">
      <w:pPr>
        <w:jc w:val="center"/>
      </w:pPr>
      <w:r>
        <w:rPr>
          <w:noProof/>
        </w:rPr>
        <w:drawing>
          <wp:inline distT="0" distB="0" distL="0" distR="0" wp14:anchorId="493A4F06" wp14:editId="1492F495">
            <wp:extent cx="4710304" cy="232867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lavní.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240" cy="2349404"/>
                    </a:xfrm>
                    <a:prstGeom prst="rect">
                      <a:avLst/>
                    </a:prstGeom>
                  </pic:spPr>
                </pic:pic>
              </a:graphicData>
            </a:graphic>
          </wp:inline>
        </w:drawing>
      </w:r>
    </w:p>
    <w:p w14:paraId="0F046F6B" w14:textId="77777777" w:rsidR="00023B4C" w:rsidRPr="00A73767" w:rsidRDefault="00023B4C" w:rsidP="00023B4C">
      <w:pPr>
        <w:pStyle w:val="Zdroj"/>
      </w:pPr>
      <w:r>
        <w:t>Zdroj: Vlastní zpracování na základě Rozvahy KU za rok 2023</w:t>
      </w:r>
    </w:p>
    <w:p w14:paraId="6AE45E09" w14:textId="7A93C362" w:rsidR="00023B4C" w:rsidRPr="00660E04" w:rsidRDefault="00023B4C" w:rsidP="00023B4C">
      <w:pPr>
        <w:pStyle w:val="Zdroj"/>
      </w:pPr>
    </w:p>
    <w:p w14:paraId="11BB860F" w14:textId="51BA0F37" w:rsidR="00023B4C" w:rsidRPr="00660E04" w:rsidRDefault="00660E04" w:rsidP="00660E04">
      <w:r w:rsidRPr="00660E04">
        <w:t>Graf</w:t>
      </w:r>
      <w:r w:rsidR="001726AB">
        <w:t xml:space="preserve"> 1</w:t>
      </w:r>
      <w:r w:rsidRPr="00660E04">
        <w:t xml:space="preserve"> ukazuje, že největší podíl na aktivech společnosti dlouhodobě zaujímá </w:t>
      </w:r>
      <w:r w:rsidRPr="000A264A">
        <w:rPr>
          <w:rStyle w:val="Siln"/>
          <w:b w:val="0"/>
        </w:rPr>
        <w:t>dlouhodobý hmotný majetek</w:t>
      </w:r>
      <w:r w:rsidRPr="00660E04">
        <w:t xml:space="preserve">, jehož podíl zůstal stabilní kolem 60 %. Meziročně mírně poklesly zásoby, zatímco krátkodobé pohledávky vzrostly o 3 </w:t>
      </w:r>
      <w:r>
        <w:t>%</w:t>
      </w:r>
      <w:r w:rsidRPr="00660E04">
        <w:t>. Tento posun může odrážet zvýšenou obchodní aktivitu nebo prodloužení splatnosti faktur.</w:t>
      </w:r>
    </w:p>
    <w:p w14:paraId="19FD59B7" w14:textId="6460427C" w:rsidR="00023B4C" w:rsidRDefault="00023B4C" w:rsidP="00023B4C"/>
    <w:p w14:paraId="5BE382E2" w14:textId="2BD387AC" w:rsidR="000A264A" w:rsidRDefault="001726AB" w:rsidP="000A264A">
      <w:pPr>
        <w:pStyle w:val="Titulek"/>
      </w:pPr>
      <w:r>
        <w:t>Graf</w:t>
      </w:r>
      <w:r w:rsidR="000A264A">
        <w:t xml:space="preserve"> 2: Struktura aktiv – Vedlejší složky</w:t>
      </w:r>
    </w:p>
    <w:p w14:paraId="4680325E" w14:textId="043B4CA8" w:rsidR="00023B4C" w:rsidRDefault="00023B4C" w:rsidP="000A264A">
      <w:pPr>
        <w:pStyle w:val="Zdroj"/>
      </w:pPr>
      <w:r>
        <w:rPr>
          <w:noProof/>
        </w:rPr>
        <w:drawing>
          <wp:inline distT="0" distB="0" distL="0" distR="0" wp14:anchorId="5954597B" wp14:editId="60862B20">
            <wp:extent cx="4779264" cy="2365399"/>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dlejší.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8711" cy="2375024"/>
                    </a:xfrm>
                    <a:prstGeom prst="rect">
                      <a:avLst/>
                    </a:prstGeom>
                  </pic:spPr>
                </pic:pic>
              </a:graphicData>
            </a:graphic>
          </wp:inline>
        </w:drawing>
      </w:r>
    </w:p>
    <w:p w14:paraId="48E3C097" w14:textId="1DDE3384" w:rsidR="000A264A" w:rsidRDefault="000A264A" w:rsidP="000A264A">
      <w:pPr>
        <w:pStyle w:val="Zdroj"/>
      </w:pPr>
      <w:r>
        <w:t>Zdroj: Vlastní zpracování na základě Rozvahy KU za rok 2023</w:t>
      </w:r>
    </w:p>
    <w:p w14:paraId="706B1682" w14:textId="77777777" w:rsidR="000A264A" w:rsidRPr="000A264A" w:rsidRDefault="000A264A" w:rsidP="000A264A"/>
    <w:p w14:paraId="488A7724" w14:textId="013DB655" w:rsidR="000A264A" w:rsidRDefault="000A264A" w:rsidP="000A264A">
      <w:r>
        <w:t>U vedlejších složek aktiv zůstávají jejich podíly nízké a meziroční změny jsou nevýznamné</w:t>
      </w:r>
      <w:r w:rsidRPr="000A264A">
        <w:rPr>
          <w:b/>
        </w:rPr>
        <w:t xml:space="preserve">. </w:t>
      </w:r>
      <w:r w:rsidRPr="000A264A">
        <w:rPr>
          <w:rStyle w:val="Siln"/>
          <w:b w:val="0"/>
        </w:rPr>
        <w:t>Dlouhodobý</w:t>
      </w:r>
      <w:r>
        <w:rPr>
          <w:rStyle w:val="Siln"/>
        </w:rPr>
        <w:t xml:space="preserve"> </w:t>
      </w:r>
      <w:r w:rsidRPr="000A264A">
        <w:rPr>
          <w:rStyle w:val="Siln"/>
          <w:b w:val="0"/>
        </w:rPr>
        <w:t>nehmotný majetek</w:t>
      </w:r>
      <w:r w:rsidRPr="000A264A">
        <w:t xml:space="preserve"> vzrostl</w:t>
      </w:r>
      <w:r>
        <w:t xml:space="preserve">, ale i nadále tvoří méně než 0,5 % aktiv. </w:t>
      </w:r>
      <w:r w:rsidRPr="000A264A">
        <w:rPr>
          <w:rStyle w:val="Siln"/>
          <w:b w:val="0"/>
        </w:rPr>
        <w:t>Dlouhodobý finanční</w:t>
      </w:r>
      <w:r>
        <w:rPr>
          <w:rStyle w:val="Siln"/>
        </w:rPr>
        <w:t xml:space="preserve"> </w:t>
      </w:r>
      <w:r w:rsidRPr="000A264A">
        <w:rPr>
          <w:rStyle w:val="Siln"/>
          <w:b w:val="0"/>
        </w:rPr>
        <w:t>časové rozlišení</w:t>
      </w:r>
      <w:r>
        <w:t xml:space="preserve"> </w:t>
      </w:r>
      <w:r>
        <w:rPr>
          <w:rStyle w:val="Siln"/>
        </w:rPr>
        <w:t>majetek</w:t>
      </w:r>
      <w:r>
        <w:t xml:space="preserve"> i mají stabilní, minimální podíl. Tato část aktiv tedy nemá zásadní vliv na celkovou strukturu majetku.</w:t>
      </w:r>
    </w:p>
    <w:p w14:paraId="3788910E" w14:textId="0D318614" w:rsidR="00017604" w:rsidRDefault="00017604" w:rsidP="000A264A"/>
    <w:p w14:paraId="3FF170DA" w14:textId="2C832EE4" w:rsidR="00017604" w:rsidRDefault="00017604" w:rsidP="000A264A"/>
    <w:p w14:paraId="3FAAB68C" w14:textId="7B94D204" w:rsidR="00017604" w:rsidRDefault="001726AB" w:rsidP="00017604">
      <w:pPr>
        <w:pStyle w:val="Titulek"/>
      </w:pPr>
      <w:r>
        <w:t>Graf</w:t>
      </w:r>
      <w:r w:rsidR="00017604">
        <w:t xml:space="preserve"> </w:t>
      </w:r>
      <w:r>
        <w:t>3</w:t>
      </w:r>
      <w:r w:rsidR="00017604">
        <w:t>: Trend aktiv – Hlavní složky</w:t>
      </w:r>
    </w:p>
    <w:p w14:paraId="73D8B00D" w14:textId="77777777" w:rsidR="001726AB" w:rsidRPr="001726AB" w:rsidRDefault="001726AB" w:rsidP="001726AB"/>
    <w:p w14:paraId="71F87310" w14:textId="5AE6E4DF" w:rsidR="000A264A" w:rsidRDefault="001726AB" w:rsidP="001726AB">
      <w:r>
        <w:rPr>
          <w:noProof/>
        </w:rPr>
        <w:drawing>
          <wp:inline distT="0" distB="0" distL="0" distR="0" wp14:anchorId="5DDB1F0C" wp14:editId="3E98676A">
            <wp:extent cx="6436595" cy="3182112"/>
            <wp:effectExtent l="0" t="0" r="254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lavní složky aktiv tre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58355" cy="3192869"/>
                    </a:xfrm>
                    <a:prstGeom prst="rect">
                      <a:avLst/>
                    </a:prstGeom>
                  </pic:spPr>
                </pic:pic>
              </a:graphicData>
            </a:graphic>
          </wp:inline>
        </w:drawing>
      </w:r>
    </w:p>
    <w:p w14:paraId="3913F4F4" w14:textId="6EB8DBDF" w:rsidR="00017604" w:rsidRDefault="00017604" w:rsidP="00017604">
      <w:pPr>
        <w:pStyle w:val="Zdroj"/>
      </w:pPr>
      <w:r>
        <w:t>Zdroj:</w:t>
      </w:r>
      <w:r w:rsidR="001726AB">
        <w:t xml:space="preserve"> Vlastní zpracování na základě Rozvahy KU za rok 2023</w:t>
      </w:r>
    </w:p>
    <w:p w14:paraId="44D7E77B" w14:textId="77777777" w:rsidR="001726AB" w:rsidRPr="001726AB" w:rsidRDefault="001726AB" w:rsidP="001726AB"/>
    <w:p w14:paraId="19D056CF" w14:textId="584831B4" w:rsidR="001726AB" w:rsidRPr="001726AB" w:rsidRDefault="001726AB" w:rsidP="001726AB">
      <w:pPr>
        <w:rPr>
          <w:lang w:eastAsia="cs-CZ"/>
        </w:rPr>
      </w:pPr>
      <w:r w:rsidRPr="001726AB">
        <w:rPr>
          <w:lang w:eastAsia="cs-CZ"/>
        </w:rPr>
        <w:t xml:space="preserve">Graf </w:t>
      </w:r>
      <w:r>
        <w:rPr>
          <w:lang w:eastAsia="cs-CZ"/>
        </w:rPr>
        <w:t xml:space="preserve">3 </w:t>
      </w:r>
      <w:r w:rsidRPr="001726AB">
        <w:rPr>
          <w:lang w:eastAsia="cs-CZ"/>
        </w:rPr>
        <w:t>zachycuje vývoj tří</w:t>
      </w:r>
      <w:r>
        <w:rPr>
          <w:lang w:eastAsia="cs-CZ"/>
        </w:rPr>
        <w:t xml:space="preserve"> hlavních</w:t>
      </w:r>
      <w:r w:rsidRPr="001726AB">
        <w:rPr>
          <w:lang w:eastAsia="cs-CZ"/>
        </w:rPr>
        <w:t xml:space="preserve"> složek aktiv společnosti Kostelecké uzeniny a.s. mezi roky 2022 a 2023</w:t>
      </w:r>
      <w:r>
        <w:rPr>
          <w:lang w:eastAsia="cs-CZ"/>
        </w:rPr>
        <w:t>:</w:t>
      </w:r>
    </w:p>
    <w:p w14:paraId="689EF938" w14:textId="77777777" w:rsidR="001726AB" w:rsidRPr="001726AB" w:rsidRDefault="001726AB" w:rsidP="001726AB">
      <w:pPr>
        <w:pStyle w:val="Odstavecseseznamem"/>
        <w:numPr>
          <w:ilvl w:val="0"/>
          <w:numId w:val="30"/>
        </w:numPr>
        <w:rPr>
          <w:lang w:eastAsia="cs-CZ"/>
        </w:rPr>
      </w:pPr>
      <w:r w:rsidRPr="0019110C">
        <w:rPr>
          <w:bCs/>
          <w:lang w:eastAsia="cs-CZ"/>
        </w:rPr>
        <w:t>Dlouhodobý hmotný majetek (DHM)</w:t>
      </w:r>
      <w:r w:rsidRPr="001726AB">
        <w:rPr>
          <w:lang w:eastAsia="cs-CZ"/>
        </w:rPr>
        <w:t xml:space="preserve"> zaznamenal meziroční pokles přibližně o 56,8 mil. Kč, což může souviset s nižšími investicemi do obnovy nebo odepisováním stávajícího majetku.</w:t>
      </w:r>
    </w:p>
    <w:p w14:paraId="35CBD820" w14:textId="77777777" w:rsidR="001726AB" w:rsidRPr="001726AB" w:rsidRDefault="001726AB" w:rsidP="001726AB">
      <w:pPr>
        <w:pStyle w:val="Odstavecseseznamem"/>
        <w:numPr>
          <w:ilvl w:val="0"/>
          <w:numId w:val="30"/>
        </w:numPr>
        <w:rPr>
          <w:lang w:eastAsia="cs-CZ"/>
        </w:rPr>
      </w:pPr>
      <w:r w:rsidRPr="0019110C">
        <w:rPr>
          <w:bCs/>
          <w:lang w:eastAsia="cs-CZ"/>
        </w:rPr>
        <w:t>Zásoby</w:t>
      </w:r>
      <w:r w:rsidRPr="0019110C">
        <w:rPr>
          <w:lang w:eastAsia="cs-CZ"/>
        </w:rPr>
        <w:t xml:space="preserve"> </w:t>
      </w:r>
      <w:r w:rsidRPr="001726AB">
        <w:rPr>
          <w:lang w:eastAsia="cs-CZ"/>
        </w:rPr>
        <w:t>klesly o více než 36 mil. Kč, tedy o 10,11 %, což může naznačovat efektivnější řízení skladových zásob, nižší objem výroby nebo opatrnější nákupní politiku v reakci na tržní nejistoty.</w:t>
      </w:r>
    </w:p>
    <w:p w14:paraId="682F03FC" w14:textId="3A9C5936" w:rsidR="001726AB" w:rsidRDefault="001726AB" w:rsidP="001726AB">
      <w:pPr>
        <w:pStyle w:val="Odstavecseseznamem"/>
        <w:numPr>
          <w:ilvl w:val="0"/>
          <w:numId w:val="31"/>
        </w:numPr>
        <w:rPr>
          <w:lang w:eastAsia="cs-CZ"/>
        </w:rPr>
      </w:pPr>
      <w:r w:rsidRPr="001726AB">
        <w:rPr>
          <w:lang w:eastAsia="cs-CZ"/>
        </w:rPr>
        <w:t xml:space="preserve">Naopak </w:t>
      </w:r>
      <w:r w:rsidRPr="0019110C">
        <w:rPr>
          <w:bCs/>
          <w:lang w:eastAsia="cs-CZ"/>
        </w:rPr>
        <w:t>krátkodobé pohledávky</w:t>
      </w:r>
      <w:r w:rsidRPr="001726AB">
        <w:rPr>
          <w:lang w:eastAsia="cs-CZ"/>
        </w:rPr>
        <w:t xml:space="preserve"> meziročně vzrostly o téměř 68 mil. Kč, tedy o 9,33 %. Tento nárůst může být důsledkem vyšších tržeb realizovaných na fakturu nebo změny v platební morálce odběratelů</w:t>
      </w:r>
      <w:r>
        <w:rPr>
          <w:lang w:eastAsia="cs-CZ"/>
        </w:rPr>
        <w:t>.</w:t>
      </w:r>
    </w:p>
    <w:p w14:paraId="1B174C27" w14:textId="67D13E58" w:rsidR="001726AB" w:rsidRDefault="001726AB" w:rsidP="001726AB">
      <w:pPr>
        <w:pStyle w:val="Odstavecseseznamem"/>
        <w:rPr>
          <w:lang w:eastAsia="cs-CZ"/>
        </w:rPr>
      </w:pPr>
    </w:p>
    <w:p w14:paraId="6151AF6D" w14:textId="15C3D34C" w:rsidR="001726AB" w:rsidRDefault="001726AB" w:rsidP="001726AB">
      <w:pPr>
        <w:pStyle w:val="Odstavecseseznamem"/>
        <w:rPr>
          <w:lang w:eastAsia="cs-CZ"/>
        </w:rPr>
      </w:pPr>
    </w:p>
    <w:p w14:paraId="148DD744" w14:textId="2087F836" w:rsidR="001726AB" w:rsidRDefault="001726AB" w:rsidP="001726AB">
      <w:pPr>
        <w:pStyle w:val="Odstavecseseznamem"/>
        <w:rPr>
          <w:lang w:eastAsia="cs-CZ"/>
        </w:rPr>
      </w:pPr>
    </w:p>
    <w:p w14:paraId="1B4A056A" w14:textId="01BE662A" w:rsidR="001726AB" w:rsidRDefault="001726AB" w:rsidP="001726AB">
      <w:pPr>
        <w:pStyle w:val="Odstavecseseznamem"/>
        <w:rPr>
          <w:lang w:eastAsia="cs-CZ"/>
        </w:rPr>
      </w:pPr>
    </w:p>
    <w:p w14:paraId="006204A5" w14:textId="4B58E7F0" w:rsidR="001726AB" w:rsidRDefault="001726AB" w:rsidP="001726AB">
      <w:pPr>
        <w:pStyle w:val="Odstavecseseznamem"/>
        <w:rPr>
          <w:lang w:eastAsia="cs-CZ"/>
        </w:rPr>
      </w:pPr>
    </w:p>
    <w:p w14:paraId="2CC6C34A" w14:textId="603EC70C" w:rsidR="001726AB" w:rsidRDefault="001726AB" w:rsidP="001726AB">
      <w:pPr>
        <w:pStyle w:val="Odstavecseseznamem"/>
        <w:rPr>
          <w:lang w:eastAsia="cs-CZ"/>
        </w:rPr>
      </w:pPr>
    </w:p>
    <w:p w14:paraId="6366F70A" w14:textId="0020391E" w:rsidR="001726AB" w:rsidRDefault="001726AB" w:rsidP="001726AB">
      <w:pPr>
        <w:pStyle w:val="Odstavecseseznamem"/>
        <w:rPr>
          <w:lang w:eastAsia="cs-CZ"/>
        </w:rPr>
      </w:pPr>
    </w:p>
    <w:p w14:paraId="6F3BD863" w14:textId="65E93969" w:rsidR="001726AB" w:rsidRDefault="001726AB" w:rsidP="001726AB">
      <w:pPr>
        <w:pStyle w:val="Odstavecseseznamem"/>
        <w:rPr>
          <w:lang w:eastAsia="cs-CZ"/>
        </w:rPr>
      </w:pPr>
    </w:p>
    <w:p w14:paraId="3F4C6B81" w14:textId="71C4FF17" w:rsidR="001726AB" w:rsidRDefault="001726AB" w:rsidP="001726AB">
      <w:pPr>
        <w:pStyle w:val="Odstavecseseznamem"/>
        <w:rPr>
          <w:lang w:eastAsia="cs-CZ"/>
        </w:rPr>
      </w:pPr>
    </w:p>
    <w:p w14:paraId="2D7AFD48" w14:textId="62538A99" w:rsidR="001726AB" w:rsidRDefault="001726AB" w:rsidP="001726AB">
      <w:pPr>
        <w:pStyle w:val="Odstavecseseznamem"/>
        <w:rPr>
          <w:lang w:eastAsia="cs-CZ"/>
        </w:rPr>
      </w:pPr>
    </w:p>
    <w:p w14:paraId="39F8E873" w14:textId="1CFA4797" w:rsidR="001726AB" w:rsidRDefault="001726AB" w:rsidP="001726AB">
      <w:pPr>
        <w:pStyle w:val="Odstavecseseznamem"/>
        <w:rPr>
          <w:lang w:eastAsia="cs-CZ"/>
        </w:rPr>
      </w:pPr>
    </w:p>
    <w:p w14:paraId="48992E18" w14:textId="378A1813" w:rsidR="001726AB" w:rsidRDefault="001726AB" w:rsidP="001726AB">
      <w:pPr>
        <w:pStyle w:val="Odstavecseseznamem"/>
        <w:rPr>
          <w:lang w:eastAsia="cs-CZ"/>
        </w:rPr>
      </w:pPr>
    </w:p>
    <w:p w14:paraId="47CA6413" w14:textId="3A6DF835" w:rsidR="001726AB" w:rsidRDefault="001726AB" w:rsidP="001726AB">
      <w:pPr>
        <w:pStyle w:val="Odstavecseseznamem"/>
        <w:rPr>
          <w:lang w:eastAsia="cs-CZ"/>
        </w:rPr>
      </w:pPr>
    </w:p>
    <w:p w14:paraId="665D05F9" w14:textId="1DE442DF" w:rsidR="001726AB" w:rsidRDefault="001726AB" w:rsidP="001726AB">
      <w:pPr>
        <w:pStyle w:val="Titulek"/>
        <w:rPr>
          <w:lang w:eastAsia="cs-CZ"/>
        </w:rPr>
      </w:pPr>
      <w:r>
        <w:rPr>
          <w:lang w:eastAsia="cs-CZ"/>
        </w:rPr>
        <w:t>Graf 4: Trend aktiv – Vedlejší složky</w:t>
      </w:r>
    </w:p>
    <w:p w14:paraId="58E6157D" w14:textId="77777777" w:rsidR="001726AB" w:rsidRPr="001726AB" w:rsidRDefault="001726AB" w:rsidP="001726AB">
      <w:pPr>
        <w:rPr>
          <w:lang w:eastAsia="cs-CZ"/>
        </w:rPr>
      </w:pPr>
    </w:p>
    <w:p w14:paraId="0A69654B" w14:textId="3B05FEBA" w:rsidR="001726AB" w:rsidRPr="001726AB" w:rsidRDefault="001726AB" w:rsidP="001726AB">
      <w:pPr>
        <w:rPr>
          <w:lang w:eastAsia="cs-CZ"/>
        </w:rPr>
      </w:pPr>
      <w:r>
        <w:rPr>
          <w:noProof/>
          <w:lang w:eastAsia="cs-CZ"/>
        </w:rPr>
        <w:drawing>
          <wp:inline distT="0" distB="0" distL="0" distR="0" wp14:anchorId="7009F7D7" wp14:editId="2EFD0B46">
            <wp:extent cx="6432291" cy="3182112"/>
            <wp:effectExtent l="0" t="0" r="698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dlejší aktiva tren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43013" cy="3187416"/>
                    </a:xfrm>
                    <a:prstGeom prst="rect">
                      <a:avLst/>
                    </a:prstGeom>
                  </pic:spPr>
                </pic:pic>
              </a:graphicData>
            </a:graphic>
          </wp:inline>
        </w:drawing>
      </w:r>
    </w:p>
    <w:p w14:paraId="65441E99" w14:textId="7C04296A" w:rsidR="001726AB" w:rsidRDefault="001726AB" w:rsidP="001726AB">
      <w:pPr>
        <w:pStyle w:val="Zdroj"/>
      </w:pPr>
      <w:r>
        <w:t>Zdroj: Vlastní zpracování na základě Rozvahy KU za rok 2023</w:t>
      </w:r>
    </w:p>
    <w:p w14:paraId="46B5D246" w14:textId="3258BA4B" w:rsidR="001726AB" w:rsidRDefault="001726AB" w:rsidP="001726AB"/>
    <w:p w14:paraId="38D6A466" w14:textId="77777777" w:rsidR="0019110C" w:rsidRPr="0019110C" w:rsidRDefault="0019110C" w:rsidP="0019110C">
      <w:pPr>
        <w:rPr>
          <w:lang w:eastAsia="cs-CZ"/>
        </w:rPr>
      </w:pPr>
      <w:r w:rsidRPr="0019110C">
        <w:rPr>
          <w:lang w:eastAsia="cs-CZ"/>
        </w:rPr>
        <w:t>Vedlejší složky aktiv společnosti Kostelecké uzeniny a.s. představují pouze malou část celkových aktiv, přesto je jejich vývoj mezi roky 2022 a 2023 zajímavý:</w:t>
      </w:r>
    </w:p>
    <w:p w14:paraId="1D6DA417" w14:textId="77777777" w:rsidR="0019110C" w:rsidRPr="0019110C" w:rsidRDefault="0019110C" w:rsidP="0019110C">
      <w:pPr>
        <w:pStyle w:val="Odstavecseseznamem"/>
        <w:numPr>
          <w:ilvl w:val="0"/>
          <w:numId w:val="31"/>
        </w:numPr>
        <w:rPr>
          <w:lang w:eastAsia="cs-CZ"/>
        </w:rPr>
      </w:pPr>
      <w:r w:rsidRPr="0019110C">
        <w:rPr>
          <w:bCs/>
          <w:lang w:eastAsia="cs-CZ"/>
        </w:rPr>
        <w:t>Dlouhodobý nehmotný majetek</w:t>
      </w:r>
      <w:r w:rsidRPr="0019110C">
        <w:rPr>
          <w:lang w:eastAsia="cs-CZ"/>
        </w:rPr>
        <w:t xml:space="preserve"> vzrostl z 4,7 mil. Kč na 8,3 mil. Kč, tedy o více než 74 %. I když jde o nízké absolutní hodnoty, relativně výrazný nárůst může souviset s pořízením softwaru nebo práv duševního vlastnictví.</w:t>
      </w:r>
    </w:p>
    <w:p w14:paraId="123CC154" w14:textId="77777777" w:rsidR="0019110C" w:rsidRPr="0019110C" w:rsidRDefault="0019110C" w:rsidP="0019110C">
      <w:pPr>
        <w:pStyle w:val="Odstavecseseznamem"/>
        <w:numPr>
          <w:ilvl w:val="0"/>
          <w:numId w:val="31"/>
        </w:numPr>
        <w:rPr>
          <w:lang w:eastAsia="cs-CZ"/>
        </w:rPr>
      </w:pPr>
      <w:r w:rsidRPr="0019110C">
        <w:rPr>
          <w:bCs/>
          <w:lang w:eastAsia="cs-CZ"/>
        </w:rPr>
        <w:t>Dlouhodobý finanční majetek</w:t>
      </w:r>
      <w:r w:rsidRPr="0019110C">
        <w:rPr>
          <w:lang w:eastAsia="cs-CZ"/>
        </w:rPr>
        <w:t xml:space="preserve"> zůstal na zanedbatelné úrovni, přesto mírně narostl (o 247 tis. Kč), což může naznačovat drobné změny v portfoliu finančních investic.</w:t>
      </w:r>
    </w:p>
    <w:p w14:paraId="3FD1651E" w14:textId="77777777" w:rsidR="0019110C" w:rsidRPr="0019110C" w:rsidRDefault="0019110C" w:rsidP="0019110C">
      <w:pPr>
        <w:pStyle w:val="Odstavecseseznamem"/>
        <w:numPr>
          <w:ilvl w:val="0"/>
          <w:numId w:val="31"/>
        </w:numPr>
        <w:rPr>
          <w:lang w:eastAsia="cs-CZ"/>
        </w:rPr>
      </w:pPr>
      <w:r w:rsidRPr="0019110C">
        <w:rPr>
          <w:bCs/>
          <w:lang w:eastAsia="cs-CZ"/>
        </w:rPr>
        <w:t>Časové rozlišení</w:t>
      </w:r>
      <w:r w:rsidRPr="0019110C">
        <w:rPr>
          <w:lang w:eastAsia="cs-CZ"/>
        </w:rPr>
        <w:t xml:space="preserve"> se meziročně zvýšilo o cca 670 tis. Kč. To poukazuje na drobné účetní úpravy v oblasti nákladů a výnosů budoucích období.</w:t>
      </w:r>
    </w:p>
    <w:p w14:paraId="10EF8E0A" w14:textId="30FF223D" w:rsidR="0019110C" w:rsidRDefault="0019110C" w:rsidP="001726AB"/>
    <w:p w14:paraId="46D1457E" w14:textId="691464B8" w:rsidR="0019110C" w:rsidRDefault="0019110C" w:rsidP="001726AB"/>
    <w:p w14:paraId="4E68C374" w14:textId="241F2677" w:rsidR="00DD1057" w:rsidRDefault="00DD1057" w:rsidP="001726AB"/>
    <w:p w14:paraId="5A13573B" w14:textId="33064E86" w:rsidR="00DD1057" w:rsidRDefault="00DD1057" w:rsidP="001726AB"/>
    <w:p w14:paraId="13FF273A" w14:textId="3E90868E" w:rsidR="00DD1057" w:rsidRDefault="00DD1057" w:rsidP="001726AB"/>
    <w:p w14:paraId="4986CF0D" w14:textId="53C1FAEA" w:rsidR="00DD1057" w:rsidRDefault="00DD1057" w:rsidP="001726AB"/>
    <w:p w14:paraId="53C3D100" w14:textId="1A35DFB8" w:rsidR="00DD1057" w:rsidRDefault="00DD1057" w:rsidP="001726AB"/>
    <w:p w14:paraId="1FD44CD8" w14:textId="2E94BA62" w:rsidR="00DD1057" w:rsidRDefault="00DD1057" w:rsidP="001726AB"/>
    <w:p w14:paraId="1ABF191F" w14:textId="303373BC" w:rsidR="00DD1057" w:rsidRDefault="00DD1057" w:rsidP="001726AB"/>
    <w:p w14:paraId="4B8A1883" w14:textId="0BDB3E86" w:rsidR="00DD1057" w:rsidRDefault="00DD1057" w:rsidP="001726AB"/>
    <w:p w14:paraId="74FA417D" w14:textId="15A86255" w:rsidR="00DD1057" w:rsidRDefault="00DD1057" w:rsidP="00DD1057">
      <w:pPr>
        <w:pStyle w:val="Titulek"/>
      </w:pPr>
      <w:r>
        <w:t>Graf 5: Trend pasiv</w:t>
      </w:r>
    </w:p>
    <w:p w14:paraId="77D102B5" w14:textId="77777777" w:rsidR="00DD1057" w:rsidRPr="00DD1057" w:rsidRDefault="00DD1057" w:rsidP="00DD1057"/>
    <w:p w14:paraId="2193EE1E" w14:textId="2861E3EC" w:rsidR="00DD1057" w:rsidRDefault="00DD1057" w:rsidP="001726AB">
      <w:r>
        <w:rPr>
          <w:noProof/>
        </w:rPr>
        <w:drawing>
          <wp:inline distT="0" distB="0" distL="0" distR="0" wp14:anchorId="5097EAA3" wp14:editId="40C88EA0">
            <wp:extent cx="5760720" cy="285623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ny pasivdf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56230"/>
                    </a:xfrm>
                    <a:prstGeom prst="rect">
                      <a:avLst/>
                    </a:prstGeom>
                  </pic:spPr>
                </pic:pic>
              </a:graphicData>
            </a:graphic>
          </wp:inline>
        </w:drawing>
      </w:r>
    </w:p>
    <w:p w14:paraId="4E71AC7A" w14:textId="7AA8F47D" w:rsidR="00DD1057" w:rsidRDefault="00DD1057" w:rsidP="00DD1057">
      <w:pPr>
        <w:pStyle w:val="Zdroj"/>
      </w:pPr>
      <w:r>
        <w:t>Zdroj: Vlastní zpracování na základě Rozvahy KU za rok 2023</w:t>
      </w:r>
    </w:p>
    <w:p w14:paraId="3EB8605D" w14:textId="77777777" w:rsidR="00DD1057" w:rsidRPr="00DD1057" w:rsidRDefault="00DD1057" w:rsidP="00DD1057"/>
    <w:p w14:paraId="1CF96D5A" w14:textId="2DADABEA" w:rsidR="00DD1057" w:rsidRPr="00DD1057" w:rsidRDefault="00DD1057" w:rsidP="00DD1057">
      <w:pPr>
        <w:rPr>
          <w:lang w:eastAsia="cs-CZ"/>
        </w:rPr>
      </w:pPr>
      <w:r w:rsidRPr="00DD1057">
        <w:rPr>
          <w:lang w:eastAsia="cs-CZ"/>
        </w:rPr>
        <w:t xml:space="preserve">Graf </w:t>
      </w:r>
      <w:r>
        <w:rPr>
          <w:lang w:eastAsia="cs-CZ"/>
        </w:rPr>
        <w:t xml:space="preserve">5 </w:t>
      </w:r>
      <w:r w:rsidRPr="00DD1057">
        <w:rPr>
          <w:lang w:eastAsia="cs-CZ"/>
        </w:rPr>
        <w:t>ukazuje meziroční vývoj jednotlivých složek pasiv společnosti Kostelecké uzeniny a.s. mezi roky 2022 a 2023</w:t>
      </w:r>
      <w:r>
        <w:rPr>
          <w:lang w:eastAsia="cs-CZ"/>
        </w:rPr>
        <w:t>:</w:t>
      </w:r>
    </w:p>
    <w:p w14:paraId="27E4D2FD" w14:textId="77777777" w:rsidR="00DD1057" w:rsidRPr="00DD1057" w:rsidRDefault="00DD1057" w:rsidP="00DD1057">
      <w:pPr>
        <w:pStyle w:val="Odstavecseseznamem"/>
        <w:numPr>
          <w:ilvl w:val="0"/>
          <w:numId w:val="34"/>
        </w:numPr>
        <w:rPr>
          <w:lang w:eastAsia="cs-CZ"/>
        </w:rPr>
      </w:pPr>
      <w:r w:rsidRPr="00DD1057">
        <w:rPr>
          <w:bCs/>
          <w:lang w:eastAsia="cs-CZ"/>
        </w:rPr>
        <w:t>Krátkodobé závazky</w:t>
      </w:r>
      <w:r w:rsidRPr="00DD1057">
        <w:rPr>
          <w:lang w:eastAsia="cs-CZ"/>
        </w:rPr>
        <w:t xml:space="preserve"> zůstávají nejvýznamnější položkou pasiv, i když poklesly o více než 146 mil. Kč. Tento vývoj může naznačovat snahu firmy o snížení závislosti na cizím krátkodobém financování nebo zlepšení platební schopnosti.</w:t>
      </w:r>
    </w:p>
    <w:p w14:paraId="107EFDB8" w14:textId="77777777" w:rsidR="00DD1057" w:rsidRPr="00DD1057" w:rsidRDefault="00DD1057" w:rsidP="00DD1057">
      <w:pPr>
        <w:pStyle w:val="Odstavecseseznamem"/>
        <w:numPr>
          <w:ilvl w:val="0"/>
          <w:numId w:val="34"/>
        </w:numPr>
        <w:rPr>
          <w:lang w:eastAsia="cs-CZ"/>
        </w:rPr>
      </w:pPr>
      <w:r w:rsidRPr="00DD1057">
        <w:rPr>
          <w:bCs/>
          <w:lang w:eastAsia="cs-CZ"/>
        </w:rPr>
        <w:t>Výsledek hospodaření běžného období</w:t>
      </w:r>
      <w:r w:rsidRPr="00DD1057">
        <w:rPr>
          <w:lang w:eastAsia="cs-CZ"/>
        </w:rPr>
        <w:t xml:space="preserve"> vykazuje výrazný obrat – ztráta v roce 2022 byla nahrazena ziskem v roce 2023. Tento zisk zároveň přispěl ke zvýšení </w:t>
      </w:r>
      <w:r w:rsidRPr="00DD1057">
        <w:rPr>
          <w:bCs/>
          <w:lang w:eastAsia="cs-CZ"/>
        </w:rPr>
        <w:t>vlastního kapitálu</w:t>
      </w:r>
      <w:r w:rsidRPr="00DD1057">
        <w:rPr>
          <w:lang w:eastAsia="cs-CZ"/>
        </w:rPr>
        <w:t>.</w:t>
      </w:r>
    </w:p>
    <w:p w14:paraId="72D82C18" w14:textId="77777777" w:rsidR="00DD1057" w:rsidRPr="00DD1057" w:rsidRDefault="00DD1057" w:rsidP="00DD1057">
      <w:pPr>
        <w:pStyle w:val="Odstavecseseznamem"/>
        <w:numPr>
          <w:ilvl w:val="0"/>
          <w:numId w:val="34"/>
        </w:numPr>
        <w:rPr>
          <w:lang w:eastAsia="cs-CZ"/>
        </w:rPr>
      </w:pPr>
      <w:r w:rsidRPr="00DD1057">
        <w:rPr>
          <w:bCs/>
          <w:lang w:eastAsia="cs-CZ"/>
        </w:rPr>
        <w:t>Výsledek minulých let</w:t>
      </w:r>
      <w:r w:rsidRPr="00DD1057">
        <w:rPr>
          <w:lang w:eastAsia="cs-CZ"/>
        </w:rPr>
        <w:t xml:space="preserve"> se změnil ze zůstatku v kladných číslech na záporné hodnoty, což odráží přeúčtování ztráty z předchozího období.</w:t>
      </w:r>
    </w:p>
    <w:p w14:paraId="6A209405" w14:textId="77777777" w:rsidR="00DD1057" w:rsidRPr="00DD1057" w:rsidRDefault="00DD1057" w:rsidP="00DD1057">
      <w:pPr>
        <w:pStyle w:val="Odstavecseseznamem"/>
        <w:numPr>
          <w:ilvl w:val="0"/>
          <w:numId w:val="34"/>
        </w:numPr>
        <w:rPr>
          <w:lang w:eastAsia="cs-CZ"/>
        </w:rPr>
      </w:pPr>
      <w:r w:rsidRPr="00DD1057">
        <w:rPr>
          <w:lang w:eastAsia="cs-CZ"/>
        </w:rPr>
        <w:t>U ostatních složek (základní kapitál, fondy, rezervy, dlouhodobé závazky) došlo pouze k mírným změnám, které nemají zásadní dopad na celkovou strukturu pasiv.</w:t>
      </w:r>
    </w:p>
    <w:p w14:paraId="7EDB7508" w14:textId="77777777" w:rsidR="00DD1057" w:rsidRPr="00DD1057" w:rsidRDefault="00DD1057" w:rsidP="00DD1057">
      <w:pPr>
        <w:rPr>
          <w:lang w:eastAsia="cs-CZ"/>
        </w:rPr>
      </w:pPr>
      <w:r w:rsidRPr="00DD1057">
        <w:rPr>
          <w:lang w:eastAsia="cs-CZ"/>
        </w:rPr>
        <w:t>Celkově lze říci, že struktura pasiv se meziročně mírně proměnila směrem k vyššímu podílu vlastních zdrojů a nižší závislosti na krátkodobých závazcích.</w:t>
      </w:r>
    </w:p>
    <w:p w14:paraId="32B74020" w14:textId="51662160" w:rsidR="00EA685E" w:rsidRDefault="00EA685E" w:rsidP="00DD1057"/>
    <w:p w14:paraId="561B37EA" w14:textId="77777777" w:rsidR="00EA685E" w:rsidRDefault="00EA685E">
      <w:pPr>
        <w:spacing w:after="160" w:line="259" w:lineRule="auto"/>
        <w:jc w:val="left"/>
      </w:pPr>
      <w:r>
        <w:br w:type="page"/>
      </w:r>
    </w:p>
    <w:p w14:paraId="0D88BA77" w14:textId="3AB377D2" w:rsidR="00DD1057" w:rsidRDefault="008C3195" w:rsidP="00E3765D">
      <w:pPr>
        <w:pStyle w:val="Titulek"/>
      </w:pPr>
      <w:r>
        <w:rPr>
          <w:noProof/>
        </w:rPr>
        <w:lastRenderedPageBreak/>
        <w:drawing>
          <wp:anchor distT="0" distB="0" distL="114300" distR="114300" simplePos="0" relativeHeight="251658240" behindDoc="0" locked="0" layoutInCell="1" allowOverlap="1" wp14:anchorId="149615F0" wp14:editId="6E3E3E01">
            <wp:simplePos x="0" y="0"/>
            <wp:positionH relativeFrom="margin">
              <wp:posOffset>-481965</wp:posOffset>
            </wp:positionH>
            <wp:positionV relativeFrom="margin">
              <wp:posOffset>238125</wp:posOffset>
            </wp:positionV>
            <wp:extent cx="6721475" cy="8161020"/>
            <wp:effectExtent l="0" t="0" r="317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ímek obrazovky 2025-06-09 105543.png"/>
                    <pic:cNvPicPr/>
                  </pic:nvPicPr>
                  <pic:blipFill>
                    <a:blip r:embed="rId25">
                      <a:extLst>
                        <a:ext uri="{28A0092B-C50C-407E-A947-70E740481C1C}">
                          <a14:useLocalDpi xmlns:a14="http://schemas.microsoft.com/office/drawing/2010/main" val="0"/>
                        </a:ext>
                      </a:extLst>
                    </a:blip>
                    <a:stretch>
                      <a:fillRect/>
                    </a:stretch>
                  </pic:blipFill>
                  <pic:spPr>
                    <a:xfrm>
                      <a:off x="0" y="0"/>
                      <a:ext cx="6721475" cy="8161020"/>
                    </a:xfrm>
                    <a:prstGeom prst="rect">
                      <a:avLst/>
                    </a:prstGeom>
                  </pic:spPr>
                </pic:pic>
              </a:graphicData>
            </a:graphic>
            <wp14:sizeRelH relativeFrom="margin">
              <wp14:pctWidth>0</wp14:pctWidth>
            </wp14:sizeRelH>
            <wp14:sizeRelV relativeFrom="margin">
              <wp14:pctHeight>0</wp14:pctHeight>
            </wp14:sizeRelV>
          </wp:anchor>
        </w:drawing>
      </w:r>
      <w:r w:rsidR="00E3765D">
        <w:t>Tab.2. Horizontální analýza – Výkaz zisků a ztrát</w:t>
      </w:r>
    </w:p>
    <w:p w14:paraId="321C6424" w14:textId="2A75DF88" w:rsidR="00E3765D" w:rsidRDefault="00E3765D" w:rsidP="00E3765D">
      <w:pPr>
        <w:pStyle w:val="Zdroj"/>
      </w:pPr>
      <w:r>
        <w:t>Zdroj: Vlastní zpracování na základě VZZ KU za rok 2023</w:t>
      </w:r>
    </w:p>
    <w:p w14:paraId="070D3974" w14:textId="2161D0D6" w:rsidR="00E54B68" w:rsidRDefault="00E54B68" w:rsidP="00E54B68"/>
    <w:p w14:paraId="40957656" w14:textId="40E99DDB" w:rsidR="00E54B68" w:rsidRDefault="00E54B68" w:rsidP="00E54B68"/>
    <w:p w14:paraId="5D59A184" w14:textId="77777777" w:rsidR="00E54B68" w:rsidRPr="00E54B68" w:rsidRDefault="00E54B68" w:rsidP="00E54B68"/>
    <w:p w14:paraId="56C00B2E" w14:textId="17D7FE35" w:rsidR="00EA685E" w:rsidRDefault="00EA685E" w:rsidP="00E3765D">
      <w:pPr>
        <w:pStyle w:val="Zdroj"/>
      </w:pPr>
    </w:p>
    <w:p w14:paraId="41CF4C52" w14:textId="77777777" w:rsidR="00C07E32" w:rsidRPr="00C07E32" w:rsidRDefault="00C07E32" w:rsidP="00C07E32">
      <w:pPr>
        <w:rPr>
          <w:lang w:eastAsia="cs-CZ"/>
        </w:rPr>
      </w:pPr>
      <w:r w:rsidRPr="00C07E32">
        <w:rPr>
          <w:lang w:eastAsia="cs-CZ"/>
        </w:rPr>
        <w:t>V roce 2023 došlo u společnosti Kostelecké uzeniny a.s. k meziročnímu zvýšení tržeb za prodej vlastních výrobků a služeb o 3,89 %, což představuje nárůst o 265 mil. Kč. Tento růst je doprovázen navýšením výkonové spotřeby o 4,38 %, zejména v položkách spotřeby materiálu a energií (+87 mil. Kč) a nákladů na prodané zboží (+37 mil. Kč), což odráží vyšší výrobní aktivitu.</w:t>
      </w:r>
    </w:p>
    <w:p w14:paraId="48AFAE8B" w14:textId="77777777" w:rsidR="00C07E32" w:rsidRPr="00C07E32" w:rsidRDefault="00C07E32" w:rsidP="00C07E32">
      <w:pPr>
        <w:rPr>
          <w:lang w:eastAsia="cs-CZ"/>
        </w:rPr>
      </w:pPr>
      <w:r w:rsidRPr="00C07E32">
        <w:rPr>
          <w:lang w:eastAsia="cs-CZ"/>
        </w:rPr>
        <w:t>Osobní náklady klesly meziročně o 4,64 %, což může být důsledkem optimalizace personálních výdajů nebo restrukturalizace pracovních pozic. Významnou změnou je pokles aktivace o více než 44 mil. Kč (–156,58 %), což poukazuje na nižší vlastní investiční činnost podniku.</w:t>
      </w:r>
    </w:p>
    <w:p w14:paraId="16C7F2A6" w14:textId="77777777" w:rsidR="00C07E32" w:rsidRPr="00C07E32" w:rsidRDefault="00C07E32" w:rsidP="00C07E32">
      <w:pPr>
        <w:rPr>
          <w:lang w:eastAsia="cs-CZ"/>
        </w:rPr>
      </w:pPr>
      <w:r w:rsidRPr="00C07E32">
        <w:rPr>
          <w:lang w:eastAsia="cs-CZ"/>
        </w:rPr>
        <w:t xml:space="preserve">Významný nárůst provozního výsledku hospodaření </w:t>
      </w:r>
      <w:proofErr w:type="gramStart"/>
      <w:r w:rsidRPr="00C07E32">
        <w:rPr>
          <w:lang w:eastAsia="cs-CZ"/>
        </w:rPr>
        <w:t>z –105</w:t>
      </w:r>
      <w:proofErr w:type="gramEnd"/>
      <w:r w:rsidRPr="00C07E32">
        <w:rPr>
          <w:lang w:eastAsia="cs-CZ"/>
        </w:rPr>
        <w:t xml:space="preserve"> mil. Kč na 216 mil. Kč (+306 %) indikuje výrazné zlepšení provozní efektivity a schopnosti generovat kladný hospodářský výsledek z hlavní činnosti. Zatímco finanční výsledek hospodaření zůstal v obou letech záporný, jeho hodnota je relativně stabilní.</w:t>
      </w:r>
    </w:p>
    <w:p w14:paraId="0FB49037" w14:textId="1D0D5384" w:rsidR="00C07E32" w:rsidRDefault="00C07E32" w:rsidP="00C07E32">
      <w:pPr>
        <w:rPr>
          <w:lang w:eastAsia="cs-CZ"/>
        </w:rPr>
      </w:pPr>
      <w:r w:rsidRPr="00C07E32">
        <w:rPr>
          <w:lang w:eastAsia="cs-CZ"/>
        </w:rPr>
        <w:t>Zásadním bodem je obrat v hospodářském výsledku: ztráta ve výši –154 mil. Kč v roce 2022 se změnila na čistý zisk 115 mil. Kč v roce 2023, což znamená celkové meziroční zlepšení o více než 269 mil. Kč.</w:t>
      </w:r>
    </w:p>
    <w:p w14:paraId="681975DF" w14:textId="04BC3F28" w:rsidR="00C07E32" w:rsidRDefault="00E54B68" w:rsidP="00E54B68">
      <w:pPr>
        <w:spacing w:after="160" w:line="259" w:lineRule="auto"/>
        <w:jc w:val="left"/>
        <w:rPr>
          <w:lang w:eastAsia="cs-CZ"/>
        </w:rPr>
      </w:pPr>
      <w:r>
        <w:rPr>
          <w:lang w:eastAsia="cs-CZ"/>
        </w:rPr>
        <w:br w:type="page"/>
      </w:r>
    </w:p>
    <w:p w14:paraId="2D521845" w14:textId="0F726A03" w:rsidR="00C07E32" w:rsidRDefault="00C07E32" w:rsidP="00C07E32">
      <w:pPr>
        <w:pStyle w:val="Titulek"/>
        <w:rPr>
          <w:lang w:eastAsia="cs-CZ"/>
        </w:rPr>
      </w:pPr>
      <w:r>
        <w:rPr>
          <w:lang w:eastAsia="cs-CZ"/>
        </w:rPr>
        <w:lastRenderedPageBreak/>
        <w:t>Graf 6: Trend výsledků hospodaření</w:t>
      </w:r>
    </w:p>
    <w:p w14:paraId="7D30BAB7" w14:textId="77777777" w:rsidR="00C07E32" w:rsidRDefault="00C07E32" w:rsidP="00C07E32">
      <w:pPr>
        <w:rPr>
          <w:lang w:eastAsia="cs-CZ"/>
        </w:rPr>
      </w:pPr>
    </w:p>
    <w:p w14:paraId="4CD96BC0" w14:textId="597E76C6" w:rsidR="00C07E32" w:rsidRPr="00C07E32" w:rsidRDefault="00C07E32" w:rsidP="00C07E32">
      <w:pPr>
        <w:rPr>
          <w:lang w:eastAsia="cs-CZ"/>
        </w:rPr>
      </w:pPr>
      <w:r>
        <w:rPr>
          <w:noProof/>
          <w:lang w:eastAsia="cs-CZ"/>
        </w:rPr>
        <w:drawing>
          <wp:inline distT="0" distB="0" distL="0" distR="0" wp14:anchorId="639F61E5" wp14:editId="33840AA2">
            <wp:extent cx="5233481" cy="3119205"/>
            <wp:effectExtent l="0" t="0" r="5715"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6561" cy="3127001"/>
                    </a:xfrm>
                    <a:prstGeom prst="rect">
                      <a:avLst/>
                    </a:prstGeom>
                  </pic:spPr>
                </pic:pic>
              </a:graphicData>
            </a:graphic>
          </wp:inline>
        </w:drawing>
      </w:r>
    </w:p>
    <w:p w14:paraId="0FD5C92C" w14:textId="1C541D39" w:rsidR="00C07E32" w:rsidRDefault="00C07E32" w:rsidP="00C07E32">
      <w:pPr>
        <w:pStyle w:val="Zdroj"/>
      </w:pPr>
      <w:r>
        <w:t>Zdroj: Vlastní zpracování na základě VZZ KU za rok 2023</w:t>
      </w:r>
    </w:p>
    <w:p w14:paraId="61F1D617" w14:textId="77777777" w:rsidR="00E54B68" w:rsidRPr="00E54B68" w:rsidRDefault="00E54B68" w:rsidP="00E54B68"/>
    <w:p w14:paraId="18C6BD62" w14:textId="77777777" w:rsidR="00E54B68" w:rsidRPr="00E54B68" w:rsidRDefault="00E54B68" w:rsidP="00E54B68">
      <w:r w:rsidRPr="00E54B68">
        <w:t xml:space="preserve">Z trendového grafu je zřejmá </w:t>
      </w:r>
      <w:r w:rsidRPr="00E54B68">
        <w:rPr>
          <w:rStyle w:val="Siln"/>
          <w:b w:val="0"/>
        </w:rPr>
        <w:t>výrazná pozitivní změna ve vývoji hospodářských výsledků</w:t>
      </w:r>
      <w:r w:rsidRPr="00E54B68">
        <w:t xml:space="preserve"> společnosti mezi roky 2022 a 2023:</w:t>
      </w:r>
    </w:p>
    <w:p w14:paraId="1B5C0DE1" w14:textId="77777777" w:rsidR="00E54B68" w:rsidRPr="00E54B68" w:rsidRDefault="00E54B68" w:rsidP="00E54B68">
      <w:pPr>
        <w:pStyle w:val="Odstavecseseznamem"/>
        <w:numPr>
          <w:ilvl w:val="0"/>
          <w:numId w:val="37"/>
        </w:numPr>
      </w:pPr>
      <w:r w:rsidRPr="00E54B68">
        <w:rPr>
          <w:rStyle w:val="Siln"/>
          <w:b w:val="0"/>
        </w:rPr>
        <w:t>Provozní výsledek hospodaření</w:t>
      </w:r>
      <w:r w:rsidRPr="00E54B68">
        <w:t xml:space="preserve"> zaznamenal zásadní obrat – zatímco v roce 2022 podnik vykázal ztrátu ve výši –105 mil. Kč, v roce 2023 dosáhl zisku 217 mil. Kč. Tento vývoj potvrzuje, že společnost efektivně optimalizovala své provozní náklady a dokázala zlepšit výnosovou stránku hospodaření.</w:t>
      </w:r>
    </w:p>
    <w:p w14:paraId="358D29D6" w14:textId="77777777" w:rsidR="00E54B68" w:rsidRPr="00E54B68" w:rsidRDefault="00E54B68" w:rsidP="00E54B68">
      <w:pPr>
        <w:pStyle w:val="Odstavecseseznamem"/>
        <w:numPr>
          <w:ilvl w:val="0"/>
          <w:numId w:val="37"/>
        </w:numPr>
      </w:pPr>
      <w:r w:rsidRPr="00E54B68">
        <w:rPr>
          <w:rStyle w:val="Siln"/>
          <w:b w:val="0"/>
        </w:rPr>
        <w:t>Finanční výsledek hospodaření</w:t>
      </w:r>
      <w:r w:rsidRPr="00E54B68">
        <w:t xml:space="preserve"> zůstal záporný, ale stabilní, a to na úrovni kolem –13 mil. Kč. Tento výsledek naznačuje, že firma stále nese určitou úrokovou a finanční zátěž, ovšem ta není natolik významná, aby výrazně ohrozila celkový výsledek.</w:t>
      </w:r>
    </w:p>
    <w:p w14:paraId="038AB9F5" w14:textId="77777777" w:rsidR="00E54B68" w:rsidRPr="00E54B68" w:rsidRDefault="00E54B68" w:rsidP="00E54B68">
      <w:pPr>
        <w:pStyle w:val="Odstavecseseznamem"/>
        <w:numPr>
          <w:ilvl w:val="0"/>
          <w:numId w:val="37"/>
        </w:numPr>
      </w:pPr>
      <w:r w:rsidRPr="00E54B68">
        <w:rPr>
          <w:rStyle w:val="Siln"/>
          <w:b w:val="0"/>
        </w:rPr>
        <w:t>Zisk před zdaněním</w:t>
      </w:r>
      <w:r w:rsidRPr="00E54B68">
        <w:t xml:space="preserve"> se ve sledovaném období zvýšil o více než 269 mil. Kč, přičemž došlo k obratu ze ztráty –154 mil. Kč na zisk 115 mil. Kč. Tento vývoj dokládá zlepšenou výkonnost napříč celou strukturou výsledovky a celkovou konsolidaci podnikových financí.</w:t>
      </w:r>
    </w:p>
    <w:p w14:paraId="36A49A2B" w14:textId="77777777" w:rsidR="00C07E32" w:rsidRPr="00C07E32" w:rsidRDefault="00C07E32" w:rsidP="00C07E32"/>
    <w:p w14:paraId="61C1239A" w14:textId="64DDA838" w:rsidR="00E54B68" w:rsidRDefault="00E54B68">
      <w:pPr>
        <w:spacing w:after="160" w:line="259" w:lineRule="auto"/>
        <w:jc w:val="left"/>
        <w:rPr>
          <w:i/>
          <w:sz w:val="20"/>
        </w:rPr>
      </w:pPr>
      <w:r>
        <w:br w:type="page"/>
      </w:r>
    </w:p>
    <w:p w14:paraId="268B4FED" w14:textId="6BF056D5" w:rsidR="00C07E32" w:rsidRDefault="00E54B68" w:rsidP="004C7EF0">
      <w:pPr>
        <w:pStyle w:val="Nadpis2"/>
      </w:pPr>
      <w:bookmarkStart w:id="9" w:name="_Toc200479674"/>
      <w:r>
        <w:lastRenderedPageBreak/>
        <w:t>Vertikální analýza</w:t>
      </w:r>
      <w:bookmarkEnd w:id="9"/>
    </w:p>
    <w:p w14:paraId="1B073FCB" w14:textId="66B57BEE" w:rsidR="00E54B68" w:rsidRDefault="00E54B68" w:rsidP="00E54B68">
      <w:pPr>
        <w:pStyle w:val="Titulek"/>
      </w:pPr>
      <w:r>
        <w:t xml:space="preserve">Tab.3: Vertikální </w:t>
      </w:r>
      <w:proofErr w:type="gramStart"/>
      <w:r>
        <w:t>analýza - Rozvaha</w:t>
      </w:r>
      <w:proofErr w:type="gramEnd"/>
    </w:p>
    <w:p w14:paraId="758F9F3A" w14:textId="5B6036BF" w:rsidR="00E54B68" w:rsidRDefault="00E54B68" w:rsidP="00E54B68">
      <w:r>
        <w:rPr>
          <w:noProof/>
        </w:rPr>
        <w:drawing>
          <wp:inline distT="0" distB="0" distL="0" distR="0" wp14:anchorId="52508C74" wp14:editId="4D6D4602">
            <wp:extent cx="5739319" cy="49047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ímek obrazovky 2025-06-09 111808.png"/>
                    <pic:cNvPicPr/>
                  </pic:nvPicPr>
                  <pic:blipFill rotWithShape="1">
                    <a:blip r:embed="rId27">
                      <a:extLst>
                        <a:ext uri="{28A0092B-C50C-407E-A947-70E740481C1C}">
                          <a14:useLocalDpi xmlns:a14="http://schemas.microsoft.com/office/drawing/2010/main" val="0"/>
                        </a:ext>
                      </a:extLst>
                    </a:blip>
                    <a:srcRect l="-169" t="591" r="536" b="-2"/>
                    <a:stretch/>
                  </pic:blipFill>
                  <pic:spPr bwMode="auto">
                    <a:xfrm>
                      <a:off x="0" y="0"/>
                      <a:ext cx="5739521" cy="4904913"/>
                    </a:xfrm>
                    <a:prstGeom prst="rect">
                      <a:avLst/>
                    </a:prstGeom>
                    <a:ln>
                      <a:noFill/>
                    </a:ln>
                    <a:extLst>
                      <a:ext uri="{53640926-AAD7-44D8-BBD7-CCE9431645EC}">
                        <a14:shadowObscured xmlns:a14="http://schemas.microsoft.com/office/drawing/2010/main"/>
                      </a:ext>
                    </a:extLst>
                  </pic:spPr>
                </pic:pic>
              </a:graphicData>
            </a:graphic>
          </wp:inline>
        </w:drawing>
      </w:r>
    </w:p>
    <w:p w14:paraId="62A221DE" w14:textId="77777777" w:rsidR="00E54B68" w:rsidRDefault="00E54B68" w:rsidP="00E54B68">
      <w:pPr>
        <w:pStyle w:val="Zdroj"/>
      </w:pPr>
      <w:r>
        <w:t>Zdroj: Vlastní zpracování na základě Rozvahy KU za rok 2023</w:t>
      </w:r>
    </w:p>
    <w:p w14:paraId="15211CB3" w14:textId="00FA3830" w:rsidR="00E54B68" w:rsidRDefault="00E54B68" w:rsidP="00E54B68">
      <w:pPr>
        <w:pStyle w:val="Zdroj"/>
      </w:pPr>
    </w:p>
    <w:p w14:paraId="576CA5B0" w14:textId="77777777" w:rsidR="00E54B68" w:rsidRDefault="00E54B68" w:rsidP="00E54B68">
      <w:r>
        <w:t>Z výsledků vertikální analýzy je patrné, že struktura aktiv společnosti Kostelecké uzeniny a.s. zůstává meziročně téměř neměnná. Největší podíl z celkových aktiv tvoří dlouhodobý majetek, který dosahuje přibližně 61 % v obou sledovaných letech. Tento podíl dokládá stabilní investiční charakter společnosti a její zaměření na výrobní aktivity. Oběžná aktiva se podílela na celkových aktivech z 39 % v roce 2022 i 2023. Nejvýznamnější položkou v rámci oběžných aktiv byly krátkodobé pohledávky, které se meziročně zvýšily a v roce 2023 tvořily 27 % všech aktiv. Zásoby se mírně snížily, ale jejich podíl zůstal stabilní kolem 11 %.</w:t>
      </w:r>
    </w:p>
    <w:p w14:paraId="7E1D429A" w14:textId="77777777" w:rsidR="00E54B68" w:rsidRDefault="00E54B68" w:rsidP="00E54B68">
      <w:r>
        <w:t>U pasiv došlo k nárůstu podílu vlastního kapitálu z 38,4 % na 43 %, což je pozitivní vývoj, který odráží lepší hospodářský výsledek. Cizí zdroje se naopak mírně snížily z 61,9 % na 56,9 %, přičemž i nadále převažují krátkodobé závazky – v roce 2023 tvořily více než 54 % celkových pasiv. Podíl dlouhodobých závazků se mírně zvýšil, ale zůstává nízký (cca 2 %), což naznačuje orientaci společnosti spíše na krátkodobé financování.</w:t>
      </w:r>
    </w:p>
    <w:p w14:paraId="1A4A4A8E" w14:textId="1FE2A976" w:rsidR="004C273A" w:rsidRDefault="004C273A" w:rsidP="00E54B68"/>
    <w:p w14:paraId="5B1E3E2E" w14:textId="38368C80" w:rsidR="00881B6C" w:rsidRPr="00881B6C" w:rsidRDefault="00881B6C" w:rsidP="00881B6C">
      <w:pPr>
        <w:pStyle w:val="Titulek"/>
      </w:pPr>
      <w:r>
        <w:lastRenderedPageBreak/>
        <w:t>Tab.4: Vertikální analýza – Výkaz zisků a ztrát</w:t>
      </w:r>
    </w:p>
    <w:p w14:paraId="28E4C5B0" w14:textId="6A4E9181" w:rsidR="00881B6C" w:rsidRDefault="00D80D6B">
      <w:pPr>
        <w:spacing w:after="160" w:line="259" w:lineRule="auto"/>
        <w:jc w:val="left"/>
      </w:pPr>
      <w:r>
        <w:rPr>
          <w:noProof/>
        </w:rPr>
        <w:drawing>
          <wp:inline distT="0" distB="0" distL="0" distR="0" wp14:anchorId="6330DF39" wp14:editId="2BA4A312">
            <wp:extent cx="5760720" cy="6317615"/>
            <wp:effectExtent l="0" t="0" r="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ímek obrazovky 2025-06-09 144311.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6317615"/>
                    </a:xfrm>
                    <a:prstGeom prst="rect">
                      <a:avLst/>
                    </a:prstGeom>
                  </pic:spPr>
                </pic:pic>
              </a:graphicData>
            </a:graphic>
          </wp:inline>
        </w:drawing>
      </w:r>
    </w:p>
    <w:p w14:paraId="31390434" w14:textId="77777777" w:rsidR="00881B6C" w:rsidRDefault="00881B6C" w:rsidP="00881B6C">
      <w:pPr>
        <w:pStyle w:val="Zdroj"/>
      </w:pPr>
      <w:r>
        <w:t>Zdroj: Vlastní zpracování na základě VZZ KU za rok 2023</w:t>
      </w:r>
    </w:p>
    <w:p w14:paraId="3890D3F2" w14:textId="77777777" w:rsidR="00881B6C" w:rsidRDefault="00881B6C" w:rsidP="00881B6C">
      <w:pPr>
        <w:pStyle w:val="Zdroj"/>
      </w:pPr>
    </w:p>
    <w:p w14:paraId="558BE1CB" w14:textId="0D949531" w:rsidR="004C273A" w:rsidRDefault="00BB522F" w:rsidP="00BB522F">
      <w:r>
        <w:t>Z vertikální analýzy vyplývá, že hlavní složkou výnosů zůstávají tržby z prodeje výrobků a služeb, které tvoří přes 93 % celkového obratu. Výkonová spotřeba představuje největší nákladovou položku, a to přes 82 %. Osobní náklady se pohybují okolo 11–12 %, což značí jejich stabilitu. Nejvýraznější změnou je zlepšení provozního výsledku hospodaření, který přešel ze ztráty do zisku, což ukazuje na zvýšení efektivity společnosti.</w:t>
      </w:r>
      <w:r w:rsidR="004C273A">
        <w:br w:type="page"/>
      </w:r>
    </w:p>
    <w:p w14:paraId="016B935D" w14:textId="472D60EC" w:rsidR="00BD111C" w:rsidRDefault="00BD111C" w:rsidP="004C7EF0">
      <w:pPr>
        <w:pStyle w:val="Nadpis2"/>
      </w:pPr>
      <w:bookmarkStart w:id="10" w:name="_Toc200479675"/>
      <w:r>
        <w:lastRenderedPageBreak/>
        <w:t>Změny ve struktuře aktiv a pasiv</w:t>
      </w:r>
      <w:bookmarkEnd w:id="10"/>
      <w:r>
        <w:t xml:space="preserve"> </w:t>
      </w:r>
    </w:p>
    <w:p w14:paraId="29799908" w14:textId="77777777" w:rsidR="00BD111C" w:rsidRPr="00BD111C" w:rsidRDefault="00BD111C" w:rsidP="00BD111C">
      <w:pPr>
        <w:rPr>
          <w:lang w:eastAsia="cs-CZ"/>
        </w:rPr>
      </w:pPr>
      <w:r w:rsidRPr="00BD111C">
        <w:rPr>
          <w:lang w:eastAsia="cs-CZ"/>
        </w:rPr>
        <w:t>Na základě rozvahy společnosti Kostelecké uzeniny, a.s. lze mezi lety 2022 a 2023 pozorovat celkový pokles hodnoty aktiv o 2,78 %, tedy o 84 141 tis. Kč. Struktura aktiv se přitom výrazněji neměnila – stále převažují dlouhodobá aktiva, především dlouhodobý hmotný majetek, který tvoří přibližně 60 % celkových aktiv. Výraznější změnou je pokles zásob o více než 10 %, zatímco krátkodobé pohledávky vzrostly o 9,33 %. Tato změna může být spojena s efektivnějším obratem zásob nebo vyššími tržbami.</w:t>
      </w:r>
    </w:p>
    <w:p w14:paraId="38F0A019" w14:textId="023AB0E8" w:rsidR="00BD111C" w:rsidRDefault="00BD111C" w:rsidP="00BD111C">
      <w:pPr>
        <w:rPr>
          <w:lang w:eastAsia="cs-CZ"/>
        </w:rPr>
      </w:pPr>
      <w:r w:rsidRPr="00BD111C">
        <w:rPr>
          <w:lang w:eastAsia="cs-CZ"/>
        </w:rPr>
        <w:t>Na straně pasiv došlo ke zvýšení vlastního kapitálu o 9,04 %, což je pozitivní vývoj. Tento růst byl způsoben především dosaženým hospodářským výsledkem v roce 2023. Zároveň došlo k mírnému poklesu cizích zdrojů o 10,62 %, zejména krátkodobých závazků, které poklesly o 13,41 %. To může naznačovat snižování závislosti společnosti na krátkodobém financování a posilování finanční stability.</w:t>
      </w:r>
    </w:p>
    <w:p w14:paraId="20A1753F" w14:textId="6D1BB7DF" w:rsidR="00BD111C" w:rsidRDefault="00BD111C" w:rsidP="00BD111C">
      <w:pPr>
        <w:rPr>
          <w:lang w:eastAsia="cs-CZ"/>
        </w:rPr>
      </w:pPr>
    </w:p>
    <w:p w14:paraId="5B69C984" w14:textId="136520FA" w:rsidR="00BD111C" w:rsidRDefault="00BD111C" w:rsidP="004C7EF0">
      <w:pPr>
        <w:pStyle w:val="Nadpis2"/>
        <w:rPr>
          <w:rFonts w:eastAsia="Times New Roman"/>
          <w:lang w:eastAsia="cs-CZ"/>
        </w:rPr>
      </w:pPr>
      <w:bookmarkStart w:id="11" w:name="_Toc200479676"/>
      <w:r>
        <w:rPr>
          <w:rFonts w:eastAsia="Times New Roman"/>
          <w:lang w:eastAsia="cs-CZ"/>
        </w:rPr>
        <w:t>Analýza změn vlastního kapitálu</w:t>
      </w:r>
      <w:bookmarkEnd w:id="11"/>
    </w:p>
    <w:p w14:paraId="3539E987" w14:textId="77777777" w:rsidR="00BD111C" w:rsidRPr="00BD111C" w:rsidRDefault="00BD111C" w:rsidP="00BD111C">
      <w:pPr>
        <w:rPr>
          <w:lang w:eastAsia="cs-CZ"/>
        </w:rPr>
      </w:pPr>
      <w:r w:rsidRPr="00BD111C">
        <w:rPr>
          <w:lang w:eastAsia="cs-CZ"/>
        </w:rPr>
        <w:t>Vlastní kapitál společnosti Kostelecké uzeniny, a.s. se mezi roky 2022 a 2023 zvýšil z 1 162 641 tis. Kč na 1 267 797 tis. Kč, což představuje nárůst o 105 156 tis. Kč. Tato změna byla způsobena zejména kladným hospodářským výsledkem roku 2023, který činil 115 066 tis. Kč. Záporný zůstatek na účtu „Výsledek hospodaření minulých let“ (-105 989 tis. Kč) pak vznikl převodem ztráty z roku 2022.</w:t>
      </w:r>
    </w:p>
    <w:p w14:paraId="09C0AB33" w14:textId="389AC992" w:rsidR="00BD111C" w:rsidRPr="00BD111C" w:rsidRDefault="00BD111C" w:rsidP="00BD111C">
      <w:pPr>
        <w:rPr>
          <w:lang w:eastAsia="cs-CZ"/>
        </w:rPr>
      </w:pPr>
      <w:r w:rsidRPr="00BD111C">
        <w:rPr>
          <w:lang w:eastAsia="cs-CZ"/>
        </w:rPr>
        <w:t>Základní kapitál a kapitálové fondy zůstaly beze změny. Ostatní položky vlastního kapitálu, jako jsou rezervní fondy a nerozdělený zisk, také zůstaly stabilní. Celkově lze vývoj vlastního kapitálu hodnotit pozitivně – firma vykázala zisk, který přispěl k jeho navýšení a tím i k větší finanční stabilitě</w:t>
      </w:r>
      <w:r>
        <w:rPr>
          <w:lang w:eastAsia="cs-CZ"/>
        </w:rPr>
        <w:t>.</w:t>
      </w:r>
    </w:p>
    <w:p w14:paraId="363C1A22" w14:textId="09E02B81" w:rsidR="00BD111C" w:rsidRDefault="00BD111C" w:rsidP="00BD111C">
      <w:pPr>
        <w:rPr>
          <w:lang w:eastAsia="cs-CZ"/>
        </w:rPr>
      </w:pPr>
    </w:p>
    <w:p w14:paraId="77F1A29E" w14:textId="1058779F" w:rsidR="004C7EF0" w:rsidRDefault="004C7EF0" w:rsidP="004C7EF0">
      <w:pPr>
        <w:pStyle w:val="Nadpis2"/>
        <w:rPr>
          <w:lang w:eastAsia="cs-CZ"/>
        </w:rPr>
      </w:pPr>
      <w:bookmarkStart w:id="12" w:name="_Toc200479677"/>
      <w:r>
        <w:rPr>
          <w:lang w:eastAsia="cs-CZ"/>
        </w:rPr>
        <w:t>Hodnocení</w:t>
      </w:r>
      <w:bookmarkEnd w:id="12"/>
    </w:p>
    <w:p w14:paraId="37004F9A" w14:textId="77777777" w:rsidR="00D66422" w:rsidRPr="00D66422" w:rsidRDefault="00D66422" w:rsidP="00D66422">
      <w:pPr>
        <w:rPr>
          <w:lang w:eastAsia="cs-CZ"/>
        </w:rPr>
      </w:pPr>
      <w:r w:rsidRPr="00D66422">
        <w:rPr>
          <w:lang w:eastAsia="cs-CZ"/>
        </w:rPr>
        <w:t>Společnost Kostelecké uzeniny a.s. vykazuje stabilní vývoj rozvahy i výsledovky. Struktura aktiv i pasiv zůstává vyrovnaná, dominantní podíl dlouhodobého hmotného majetku potvrzuje investiční charakter podniku. Oběžná aktiva mírně poklesla, zejména zásoby, což může souviset s efektivnějším řízením zásob nebo snížením potřeby provozního kapitálu. Na straně pasiv je pozitivní růst vlastního kapitálu, který byl ovlivněn tvorbou zisku v roce 2023. Krátkodobé závazky klesly, což přispělo ke zlepšení likvidity.</w:t>
      </w:r>
    </w:p>
    <w:p w14:paraId="21FA8C1B" w14:textId="77777777" w:rsidR="00D66422" w:rsidRPr="00D66422" w:rsidRDefault="00D66422" w:rsidP="00D66422">
      <w:pPr>
        <w:rPr>
          <w:lang w:eastAsia="cs-CZ"/>
        </w:rPr>
      </w:pPr>
      <w:r w:rsidRPr="00D66422">
        <w:rPr>
          <w:lang w:eastAsia="cs-CZ"/>
        </w:rPr>
        <w:t>Ve výsledovce došlo ke zlepšení provozního výsledku hospodaření a přechodu z čisté ztráty v roce 2022 do zisku v roce 2023. Tento vývoj svědčí o zlepšení výkonnosti podniku, a to nejen na úrovni výnosů, ale i v oblasti nákladového hospodaření.</w:t>
      </w:r>
    </w:p>
    <w:p w14:paraId="23DDB463" w14:textId="160A1296" w:rsidR="00D66422" w:rsidRPr="00D66422" w:rsidRDefault="00D66422" w:rsidP="00D66422">
      <w:pPr>
        <w:rPr>
          <w:lang w:eastAsia="cs-CZ"/>
        </w:rPr>
      </w:pPr>
      <w:r>
        <w:rPr>
          <w:lang w:eastAsia="cs-CZ"/>
        </w:rPr>
        <w:t>K1 = 5</w:t>
      </w:r>
    </w:p>
    <w:p w14:paraId="1744E25D" w14:textId="1B77BFD7" w:rsidR="00BD111C" w:rsidRDefault="00BD111C" w:rsidP="00BD111C"/>
    <w:p w14:paraId="5C07492F" w14:textId="021CF557" w:rsidR="00D66422" w:rsidRDefault="00D66422" w:rsidP="00D66422">
      <w:pPr>
        <w:pStyle w:val="Nadpis1"/>
      </w:pPr>
      <w:bookmarkStart w:id="13" w:name="_Toc200479678"/>
      <w:r>
        <w:lastRenderedPageBreak/>
        <w:t>Rozdílové ukazatel</w:t>
      </w:r>
      <w:r w:rsidR="00096F45">
        <w:t>é</w:t>
      </w:r>
      <w:bookmarkEnd w:id="13"/>
    </w:p>
    <w:p w14:paraId="69711316" w14:textId="6B211C05" w:rsidR="00D66422" w:rsidRDefault="00D66422" w:rsidP="00D66422">
      <w:pPr>
        <w:pStyle w:val="Nadpis2"/>
      </w:pPr>
      <w:bookmarkStart w:id="14" w:name="_Toc200479679"/>
      <w:r>
        <w:t>Čistý provozní kapitál</w:t>
      </w:r>
      <w:bookmarkEnd w:id="14"/>
    </w:p>
    <w:p w14:paraId="7FCE36C8" w14:textId="7C6D3A4D" w:rsidR="002D642C" w:rsidRPr="002D642C" w:rsidRDefault="002D642C" w:rsidP="002D642C">
      <w:pPr>
        <w:pStyle w:val="Titulek"/>
      </w:pPr>
      <w:r>
        <w:t>Tab.5: Čistý provozní kapitál</w:t>
      </w:r>
    </w:p>
    <w:p w14:paraId="35FAFDA8" w14:textId="05628A32" w:rsidR="00624D73" w:rsidRDefault="002D642C" w:rsidP="002D642C">
      <w:pPr>
        <w:jc w:val="center"/>
      </w:pPr>
      <w:r>
        <w:rPr>
          <w:noProof/>
        </w:rPr>
        <w:drawing>
          <wp:inline distT="0" distB="0" distL="0" distR="0" wp14:anchorId="17C84D85" wp14:editId="02D90085">
            <wp:extent cx="3511685" cy="1101225"/>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ímek obrazovky 2025-06-10 090910.png"/>
                    <pic:cNvPicPr/>
                  </pic:nvPicPr>
                  <pic:blipFill>
                    <a:blip r:embed="rId29">
                      <a:extLst>
                        <a:ext uri="{28A0092B-C50C-407E-A947-70E740481C1C}">
                          <a14:useLocalDpi xmlns:a14="http://schemas.microsoft.com/office/drawing/2010/main" val="0"/>
                        </a:ext>
                      </a:extLst>
                    </a:blip>
                    <a:stretch>
                      <a:fillRect/>
                    </a:stretch>
                  </pic:blipFill>
                  <pic:spPr>
                    <a:xfrm>
                      <a:off x="0" y="0"/>
                      <a:ext cx="3692798" cy="1158020"/>
                    </a:xfrm>
                    <a:prstGeom prst="rect">
                      <a:avLst/>
                    </a:prstGeom>
                  </pic:spPr>
                </pic:pic>
              </a:graphicData>
            </a:graphic>
          </wp:inline>
        </w:drawing>
      </w:r>
    </w:p>
    <w:p w14:paraId="305C5B22" w14:textId="28DA61CA" w:rsidR="002D642C" w:rsidRPr="00624D73" w:rsidRDefault="002D642C" w:rsidP="002D642C">
      <w:pPr>
        <w:pStyle w:val="Zdroj"/>
      </w:pPr>
      <w:r>
        <w:t>Zdroj: Vlastní zpracování na základě Rozvahy KU za rok 2023</w:t>
      </w:r>
    </w:p>
    <w:p w14:paraId="31CC39CC" w14:textId="05D9D58E" w:rsidR="009C0B00" w:rsidRDefault="009C0B00" w:rsidP="009C0B00">
      <w:pPr>
        <w:pStyle w:val="Nadpis2"/>
      </w:pPr>
      <w:bookmarkStart w:id="15" w:name="_Toc200479680"/>
      <w:r>
        <w:t>Čistý peněžní kapitál</w:t>
      </w:r>
      <w:bookmarkEnd w:id="15"/>
    </w:p>
    <w:p w14:paraId="65DB1F49" w14:textId="0C68B581" w:rsidR="002D642C" w:rsidRPr="002D642C" w:rsidRDefault="002D642C" w:rsidP="002D642C">
      <w:pPr>
        <w:pStyle w:val="Titulek"/>
      </w:pPr>
      <w:r>
        <w:t>Tab.6: Čistý peněžní kapitál</w:t>
      </w:r>
    </w:p>
    <w:p w14:paraId="090E6F2E" w14:textId="4EB83549" w:rsidR="002D642C" w:rsidRDefault="002D642C" w:rsidP="002D642C">
      <w:pPr>
        <w:jc w:val="center"/>
      </w:pPr>
      <w:r>
        <w:rPr>
          <w:noProof/>
        </w:rPr>
        <w:drawing>
          <wp:inline distT="0" distB="0" distL="0" distR="0" wp14:anchorId="28A747BD" wp14:editId="676E735A">
            <wp:extent cx="3443591" cy="1319843"/>
            <wp:effectExtent l="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ímek obrazovky 2025-06-10 091116.png"/>
                    <pic:cNvPicPr/>
                  </pic:nvPicPr>
                  <pic:blipFill>
                    <a:blip r:embed="rId30">
                      <a:extLst>
                        <a:ext uri="{28A0092B-C50C-407E-A947-70E740481C1C}">
                          <a14:useLocalDpi xmlns:a14="http://schemas.microsoft.com/office/drawing/2010/main" val="0"/>
                        </a:ext>
                      </a:extLst>
                    </a:blip>
                    <a:stretch>
                      <a:fillRect/>
                    </a:stretch>
                  </pic:blipFill>
                  <pic:spPr>
                    <a:xfrm>
                      <a:off x="0" y="0"/>
                      <a:ext cx="3508938" cy="1344889"/>
                    </a:xfrm>
                    <a:prstGeom prst="rect">
                      <a:avLst/>
                    </a:prstGeom>
                  </pic:spPr>
                </pic:pic>
              </a:graphicData>
            </a:graphic>
          </wp:inline>
        </w:drawing>
      </w:r>
    </w:p>
    <w:p w14:paraId="34432EDF" w14:textId="77777777" w:rsidR="002D642C" w:rsidRPr="00624D73" w:rsidRDefault="002D642C" w:rsidP="002D642C">
      <w:pPr>
        <w:pStyle w:val="Zdroj"/>
      </w:pPr>
      <w:r>
        <w:t>Zdroj: Vlastní zpracování na základě Rozvahy KU za rok 2023</w:t>
      </w:r>
    </w:p>
    <w:p w14:paraId="6B241648" w14:textId="77777777" w:rsidR="002D642C" w:rsidRPr="002D642C" w:rsidRDefault="002D642C" w:rsidP="002D642C"/>
    <w:p w14:paraId="018B712A" w14:textId="5F132B90" w:rsidR="009C0B00" w:rsidRDefault="009C0B00" w:rsidP="009C0B00">
      <w:pPr>
        <w:pStyle w:val="Nadpis2"/>
      </w:pPr>
      <w:bookmarkStart w:id="16" w:name="_Toc200479681"/>
      <w:r>
        <w:t>Hodnocení</w:t>
      </w:r>
      <w:bookmarkEnd w:id="16"/>
    </w:p>
    <w:p w14:paraId="7BD147E0" w14:textId="1564049B" w:rsidR="00C15000" w:rsidRDefault="00C15000" w:rsidP="00C15000">
      <w:r>
        <w:t>Kostelecké uzeniny a.s. vykazují v roce 2023 zlepšení likvidity. Záporný čistý provozní i peněžní kapitál se meziročně snížil. Přesto zůstávají obě hodnoty v záporných číslech. Pozitivní vývoj však naznačuje, že firma se ubírá správným směrem.</w:t>
      </w:r>
    </w:p>
    <w:p w14:paraId="39115D24" w14:textId="4D3E58BC" w:rsidR="00C15000" w:rsidRDefault="00C15000" w:rsidP="00C15000">
      <w:r>
        <w:t>K2 = 3</w:t>
      </w:r>
    </w:p>
    <w:p w14:paraId="07CAF32E" w14:textId="0FDFD5F9" w:rsidR="00C15000" w:rsidRPr="00C15000" w:rsidRDefault="00C15000" w:rsidP="00C15000">
      <w:pPr>
        <w:spacing w:after="160" w:line="259" w:lineRule="auto"/>
        <w:jc w:val="left"/>
      </w:pPr>
      <w:r>
        <w:br w:type="page"/>
      </w:r>
    </w:p>
    <w:p w14:paraId="6F19DDEC" w14:textId="7CA3338D" w:rsidR="009C0B00" w:rsidRDefault="009C0B00" w:rsidP="009C0B00">
      <w:pPr>
        <w:pStyle w:val="Nadpis1"/>
      </w:pPr>
      <w:bookmarkStart w:id="17" w:name="_Toc200479682"/>
      <w:r>
        <w:lastRenderedPageBreak/>
        <w:t>Poměrová analýza</w:t>
      </w:r>
      <w:bookmarkEnd w:id="17"/>
    </w:p>
    <w:p w14:paraId="038D783C" w14:textId="0C141456" w:rsidR="009C0B00" w:rsidRDefault="009C0B00" w:rsidP="009C0B00">
      <w:pPr>
        <w:pStyle w:val="Nadpis2"/>
      </w:pPr>
      <w:bookmarkStart w:id="18" w:name="_Toc200479683"/>
      <w:r>
        <w:t>Ukazatelé likvidity</w:t>
      </w:r>
      <w:bookmarkEnd w:id="18"/>
    </w:p>
    <w:p w14:paraId="2C1F1B7A" w14:textId="219574DB" w:rsidR="00FB6AEF" w:rsidRPr="00FB6AEF" w:rsidRDefault="00FB6AEF" w:rsidP="00FB6AEF">
      <w:pPr>
        <w:pStyle w:val="Titulek"/>
      </w:pPr>
      <w:r>
        <w:t>Tab.7: Likvidita</w:t>
      </w:r>
    </w:p>
    <w:p w14:paraId="63B75344" w14:textId="7DB0C055" w:rsidR="008B1590" w:rsidRDefault="00FB6AEF" w:rsidP="00FB6AEF">
      <w:pPr>
        <w:jc w:val="center"/>
      </w:pPr>
      <w:r>
        <w:rPr>
          <w:noProof/>
        </w:rPr>
        <w:drawing>
          <wp:inline distT="0" distB="0" distL="0" distR="0" wp14:anchorId="65742316" wp14:editId="7B1940BD">
            <wp:extent cx="2393004" cy="2962073"/>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nímek obrazovky 2025-06-10 095504.png"/>
                    <pic:cNvPicPr/>
                  </pic:nvPicPr>
                  <pic:blipFill>
                    <a:blip r:embed="rId31">
                      <a:extLst>
                        <a:ext uri="{28A0092B-C50C-407E-A947-70E740481C1C}">
                          <a14:useLocalDpi xmlns:a14="http://schemas.microsoft.com/office/drawing/2010/main" val="0"/>
                        </a:ext>
                      </a:extLst>
                    </a:blip>
                    <a:stretch>
                      <a:fillRect/>
                    </a:stretch>
                  </pic:blipFill>
                  <pic:spPr>
                    <a:xfrm>
                      <a:off x="0" y="0"/>
                      <a:ext cx="2459587" cy="3044490"/>
                    </a:xfrm>
                    <a:prstGeom prst="rect">
                      <a:avLst/>
                    </a:prstGeom>
                  </pic:spPr>
                </pic:pic>
              </a:graphicData>
            </a:graphic>
          </wp:inline>
        </w:drawing>
      </w:r>
    </w:p>
    <w:p w14:paraId="00CF87BA" w14:textId="1ABC0A7C" w:rsidR="00FB6AEF" w:rsidRPr="008B1590" w:rsidRDefault="00FB6AEF" w:rsidP="00B6318A">
      <w:pPr>
        <w:pStyle w:val="Zdroj"/>
      </w:pPr>
      <w:r>
        <w:t xml:space="preserve">Zdroj: Vlastní zpracování na základě </w:t>
      </w:r>
      <w:r w:rsidR="00B6318A">
        <w:t xml:space="preserve">Výroční zprávy </w:t>
      </w:r>
      <w:r>
        <w:t>KU za rok 2023</w:t>
      </w:r>
    </w:p>
    <w:p w14:paraId="0CA18F1A" w14:textId="3F1F3231" w:rsidR="009C0B00" w:rsidRDefault="009C0B00" w:rsidP="009C0B00">
      <w:pPr>
        <w:pStyle w:val="Nadpis2"/>
      </w:pPr>
      <w:bookmarkStart w:id="19" w:name="_Toc200479684"/>
      <w:r>
        <w:t>Ukazatelé rentability</w:t>
      </w:r>
      <w:bookmarkEnd w:id="19"/>
    </w:p>
    <w:p w14:paraId="270B330D" w14:textId="5D418962" w:rsidR="00B6318A" w:rsidRPr="00B6318A" w:rsidRDefault="00B6318A" w:rsidP="00B6318A">
      <w:pPr>
        <w:pStyle w:val="Titulek"/>
      </w:pPr>
      <w:r>
        <w:t>Tab.8: Rentabilita</w:t>
      </w:r>
    </w:p>
    <w:p w14:paraId="3189D2E5" w14:textId="3640655F" w:rsidR="00FB6AEF" w:rsidRDefault="00B6318A" w:rsidP="00B6318A">
      <w:pPr>
        <w:jc w:val="center"/>
      </w:pPr>
      <w:r>
        <w:rPr>
          <w:noProof/>
        </w:rPr>
        <w:drawing>
          <wp:inline distT="0" distB="0" distL="0" distR="0" wp14:anchorId="63E31EDE" wp14:editId="2439A924">
            <wp:extent cx="2276272" cy="3122579"/>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ímek obrazovky 2025-06-10 110224.png"/>
                    <pic:cNvPicPr/>
                  </pic:nvPicPr>
                  <pic:blipFill rotWithShape="1">
                    <a:blip r:embed="rId32">
                      <a:extLst>
                        <a:ext uri="{28A0092B-C50C-407E-A947-70E740481C1C}">
                          <a14:useLocalDpi xmlns:a14="http://schemas.microsoft.com/office/drawing/2010/main" val="0"/>
                        </a:ext>
                      </a:extLst>
                    </a:blip>
                    <a:srcRect l="2066" t="1813" r="1223" b="1212"/>
                    <a:stretch/>
                  </pic:blipFill>
                  <pic:spPr bwMode="auto">
                    <a:xfrm>
                      <a:off x="0" y="0"/>
                      <a:ext cx="2283618" cy="3132656"/>
                    </a:xfrm>
                    <a:prstGeom prst="rect">
                      <a:avLst/>
                    </a:prstGeom>
                    <a:ln>
                      <a:noFill/>
                    </a:ln>
                    <a:extLst>
                      <a:ext uri="{53640926-AAD7-44D8-BBD7-CCE9431645EC}">
                        <a14:shadowObscured xmlns:a14="http://schemas.microsoft.com/office/drawing/2010/main"/>
                      </a:ext>
                    </a:extLst>
                  </pic:spPr>
                </pic:pic>
              </a:graphicData>
            </a:graphic>
          </wp:inline>
        </w:drawing>
      </w:r>
    </w:p>
    <w:p w14:paraId="0711E9DC" w14:textId="77777777" w:rsidR="00B6318A" w:rsidRPr="008B1590" w:rsidRDefault="00B6318A" w:rsidP="00B6318A">
      <w:pPr>
        <w:pStyle w:val="Zdroj"/>
      </w:pPr>
      <w:r>
        <w:t>Zdroj: Vlastní zpracování na základě Výroční zprávy KU za rok 2023</w:t>
      </w:r>
    </w:p>
    <w:p w14:paraId="5F7DAF26" w14:textId="77777777" w:rsidR="00B6318A" w:rsidRPr="00FB6AEF" w:rsidRDefault="00B6318A" w:rsidP="00B6318A">
      <w:pPr>
        <w:pStyle w:val="Zdroj"/>
      </w:pPr>
    </w:p>
    <w:p w14:paraId="74458C83" w14:textId="640F1B3D" w:rsidR="009C0B00" w:rsidRDefault="009C0B00" w:rsidP="009C0B00">
      <w:pPr>
        <w:pStyle w:val="Nadpis2"/>
      </w:pPr>
      <w:bookmarkStart w:id="20" w:name="_Toc200479685"/>
      <w:r>
        <w:lastRenderedPageBreak/>
        <w:t>Ukazatelé aktivity</w:t>
      </w:r>
      <w:bookmarkEnd w:id="20"/>
    </w:p>
    <w:p w14:paraId="69748922" w14:textId="1C0863B3" w:rsidR="00CA56B2" w:rsidRDefault="001A115C" w:rsidP="001A115C">
      <w:pPr>
        <w:pStyle w:val="Titulek"/>
      </w:pPr>
      <w:r>
        <w:t>Tab.9:</w:t>
      </w:r>
      <w:r w:rsidR="004D37B5">
        <w:t xml:space="preserve"> Aktivita</w:t>
      </w:r>
    </w:p>
    <w:p w14:paraId="46A5EA2A" w14:textId="67A208CF" w:rsidR="001A115C" w:rsidRDefault="001A115C" w:rsidP="001A115C">
      <w:pPr>
        <w:jc w:val="center"/>
      </w:pPr>
      <w:r>
        <w:rPr>
          <w:noProof/>
        </w:rPr>
        <w:drawing>
          <wp:inline distT="0" distB="0" distL="0" distR="0" wp14:anchorId="0C1F4854" wp14:editId="538B82D9">
            <wp:extent cx="3100792" cy="3278222"/>
            <wp:effectExtent l="0" t="0" r="444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nímek obrazovky 2025-06-10 122905.png"/>
                    <pic:cNvPicPr/>
                  </pic:nvPicPr>
                  <pic:blipFill>
                    <a:blip r:embed="rId33">
                      <a:extLst>
                        <a:ext uri="{28A0092B-C50C-407E-A947-70E740481C1C}">
                          <a14:useLocalDpi xmlns:a14="http://schemas.microsoft.com/office/drawing/2010/main" val="0"/>
                        </a:ext>
                      </a:extLst>
                    </a:blip>
                    <a:stretch>
                      <a:fillRect/>
                    </a:stretch>
                  </pic:blipFill>
                  <pic:spPr>
                    <a:xfrm>
                      <a:off x="0" y="0"/>
                      <a:ext cx="3132837" cy="3312101"/>
                    </a:xfrm>
                    <a:prstGeom prst="rect">
                      <a:avLst/>
                    </a:prstGeom>
                  </pic:spPr>
                </pic:pic>
              </a:graphicData>
            </a:graphic>
          </wp:inline>
        </w:drawing>
      </w:r>
    </w:p>
    <w:p w14:paraId="7588C1A9" w14:textId="77777777" w:rsidR="004D37B5" w:rsidRPr="008B1590" w:rsidRDefault="004D37B5" w:rsidP="004D37B5">
      <w:pPr>
        <w:pStyle w:val="Zdroj"/>
      </w:pPr>
      <w:r>
        <w:t>Zdroj: Vlastní zpracování na základě Výroční zprávy KU za rok 2023</w:t>
      </w:r>
    </w:p>
    <w:p w14:paraId="4E38D679" w14:textId="77777777" w:rsidR="004D37B5" w:rsidRPr="00CA56B2" w:rsidRDefault="004D37B5" w:rsidP="004D37B5">
      <w:pPr>
        <w:pStyle w:val="Zdroj"/>
      </w:pPr>
    </w:p>
    <w:p w14:paraId="3F40495B" w14:textId="61B2D0EE" w:rsidR="00B6318A" w:rsidRDefault="008C5BFB" w:rsidP="008C5BFB">
      <w:pPr>
        <w:pStyle w:val="Nadpis2"/>
      </w:pPr>
      <w:bookmarkStart w:id="21" w:name="_Toc200479686"/>
      <w:r>
        <w:t>Ukazatelé zadluženosti</w:t>
      </w:r>
      <w:bookmarkEnd w:id="21"/>
    </w:p>
    <w:p w14:paraId="2D85D1C6" w14:textId="2892980C" w:rsidR="00AE296B" w:rsidRPr="00AE296B" w:rsidRDefault="00AE296B" w:rsidP="00AE296B">
      <w:pPr>
        <w:pStyle w:val="Titulek"/>
      </w:pPr>
      <w:r>
        <w:t>Tab.10: Zadluženost</w:t>
      </w:r>
    </w:p>
    <w:p w14:paraId="656F78A3" w14:textId="1822CA4C" w:rsidR="004D37B5" w:rsidRDefault="00AE296B" w:rsidP="00AE296B">
      <w:pPr>
        <w:jc w:val="center"/>
      </w:pPr>
      <w:r>
        <w:rPr>
          <w:noProof/>
        </w:rPr>
        <w:drawing>
          <wp:inline distT="0" distB="0" distL="0" distR="0" wp14:anchorId="58979307" wp14:editId="4D6D99AD">
            <wp:extent cx="3103123" cy="2556132"/>
            <wp:effectExtent l="0" t="0" r="254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nímek obrazovky 2025-06-10 123950.png"/>
                    <pic:cNvPicPr/>
                  </pic:nvPicPr>
                  <pic:blipFill>
                    <a:blip r:embed="rId34">
                      <a:extLst>
                        <a:ext uri="{28A0092B-C50C-407E-A947-70E740481C1C}">
                          <a14:useLocalDpi xmlns:a14="http://schemas.microsoft.com/office/drawing/2010/main" val="0"/>
                        </a:ext>
                      </a:extLst>
                    </a:blip>
                    <a:stretch>
                      <a:fillRect/>
                    </a:stretch>
                  </pic:blipFill>
                  <pic:spPr>
                    <a:xfrm>
                      <a:off x="0" y="0"/>
                      <a:ext cx="3108992" cy="2560966"/>
                    </a:xfrm>
                    <a:prstGeom prst="rect">
                      <a:avLst/>
                    </a:prstGeom>
                  </pic:spPr>
                </pic:pic>
              </a:graphicData>
            </a:graphic>
          </wp:inline>
        </w:drawing>
      </w:r>
    </w:p>
    <w:p w14:paraId="62AF447E" w14:textId="78E3881C" w:rsidR="00AE296B" w:rsidRDefault="00AE296B" w:rsidP="00AE296B">
      <w:pPr>
        <w:pStyle w:val="Zdroj"/>
      </w:pPr>
      <w:r>
        <w:t>Zdroj: Vlastní zpracování na základě Výroční zprávy KU za rok 2023</w:t>
      </w:r>
    </w:p>
    <w:p w14:paraId="4BE9A16B" w14:textId="5CE25A77" w:rsidR="00AE296B" w:rsidRDefault="00AE296B" w:rsidP="00AE296B"/>
    <w:p w14:paraId="72B563D7" w14:textId="33C41C6D" w:rsidR="00AE296B" w:rsidRDefault="00AE296B" w:rsidP="00AE296B"/>
    <w:p w14:paraId="05835C0A" w14:textId="1B6EA854" w:rsidR="00AE296B" w:rsidRDefault="00AE296B" w:rsidP="00AE296B"/>
    <w:p w14:paraId="7F3C56EF" w14:textId="48E00669" w:rsidR="00AE296B" w:rsidRDefault="00AE296B" w:rsidP="00AE296B"/>
    <w:p w14:paraId="5562C016" w14:textId="3B0AA17E" w:rsidR="00AE296B" w:rsidRDefault="00AE296B" w:rsidP="00AE296B">
      <w:pPr>
        <w:pStyle w:val="Nadpis2"/>
      </w:pPr>
      <w:bookmarkStart w:id="22" w:name="_Toc200479687"/>
      <w:r>
        <w:t>Hodnocení</w:t>
      </w:r>
      <w:bookmarkEnd w:id="22"/>
    </w:p>
    <w:p w14:paraId="04D24994" w14:textId="1547F7ED" w:rsidR="00AE296B" w:rsidRDefault="00045CEC" w:rsidP="00AE296B">
      <w:r>
        <w:t>Přestože došlo ke zlepšení ukazatelů rentability a aktivity, kriticky slabé hodnoty likvidity ukazují na riziko v oblasti krátkodobé finanční stability. Běžná likvidita sice roste, ale stále nedosahuje doporučené úrovně, a okamžitá i pohotová likvidita se výrazně zhoršily. Celková zadluženost se snižuje, což hodnotím pozitivně.</w:t>
      </w:r>
    </w:p>
    <w:p w14:paraId="09B793D7" w14:textId="127C2CB9" w:rsidR="00AE296B" w:rsidRPr="004D37B5" w:rsidRDefault="00045CEC" w:rsidP="00045CEC">
      <w:r>
        <w:t>K3 = 3</w:t>
      </w:r>
    </w:p>
    <w:p w14:paraId="7D7F8BBE" w14:textId="570FC06B" w:rsidR="00045CEC" w:rsidRPr="00045CEC" w:rsidRDefault="009C0B00" w:rsidP="00045CEC">
      <w:pPr>
        <w:pStyle w:val="Nadpis1"/>
      </w:pPr>
      <w:bookmarkStart w:id="23" w:name="_Toc200479688"/>
      <w:r>
        <w:t>DuPont</w:t>
      </w:r>
      <w:bookmarkEnd w:id="23"/>
    </w:p>
    <w:p w14:paraId="4DC7E588" w14:textId="205FFE7C" w:rsidR="009C0B00" w:rsidRDefault="009C0B00" w:rsidP="009C0B00">
      <w:pPr>
        <w:pStyle w:val="Nadpis2"/>
      </w:pPr>
      <w:bookmarkStart w:id="24" w:name="_Toc200479689"/>
      <w:r>
        <w:t>Rok 2022</w:t>
      </w:r>
      <w:bookmarkEnd w:id="24"/>
    </w:p>
    <w:p w14:paraId="28EACF32" w14:textId="0C3395A6" w:rsidR="00D77BFB" w:rsidRDefault="00573370" w:rsidP="00573370">
      <w:pPr>
        <w:pStyle w:val="Titulek"/>
      </w:pPr>
      <w:r>
        <w:t>Obr.1: DuPont rozklad za rok 2022</w:t>
      </w:r>
    </w:p>
    <w:p w14:paraId="6126A8C0" w14:textId="544BCED7" w:rsidR="00D77BFB" w:rsidRPr="00D77BFB" w:rsidRDefault="00D77BFB" w:rsidP="00573370">
      <w:pPr>
        <w:jc w:val="center"/>
      </w:pPr>
      <w:r>
        <w:rPr>
          <w:noProof/>
        </w:rPr>
        <w:drawing>
          <wp:inline distT="0" distB="0" distL="0" distR="0" wp14:anchorId="7B4AEFF5" wp14:editId="1950CFF8">
            <wp:extent cx="5881606" cy="3596907"/>
            <wp:effectExtent l="0" t="0" r="5080"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nímek obrazovky 2025-06-10 212504.png"/>
                    <pic:cNvPicPr/>
                  </pic:nvPicPr>
                  <pic:blipFill>
                    <a:blip r:embed="rId35">
                      <a:extLst>
                        <a:ext uri="{28A0092B-C50C-407E-A947-70E740481C1C}">
                          <a14:useLocalDpi xmlns:a14="http://schemas.microsoft.com/office/drawing/2010/main" val="0"/>
                        </a:ext>
                      </a:extLst>
                    </a:blip>
                    <a:stretch>
                      <a:fillRect/>
                    </a:stretch>
                  </pic:blipFill>
                  <pic:spPr>
                    <a:xfrm>
                      <a:off x="0" y="0"/>
                      <a:ext cx="5902149" cy="3609470"/>
                    </a:xfrm>
                    <a:prstGeom prst="rect">
                      <a:avLst/>
                    </a:prstGeom>
                  </pic:spPr>
                </pic:pic>
              </a:graphicData>
            </a:graphic>
          </wp:inline>
        </w:drawing>
      </w:r>
    </w:p>
    <w:p w14:paraId="67CD21DB" w14:textId="77777777" w:rsidR="00573370" w:rsidRDefault="00573370" w:rsidP="00573370">
      <w:pPr>
        <w:pStyle w:val="Zdroj"/>
      </w:pPr>
      <w:r>
        <w:t>Zdroj: Vlastní zpracování na základě Výroční zprávy KU za rok 2023</w:t>
      </w:r>
    </w:p>
    <w:p w14:paraId="56F92F41" w14:textId="5985A8D5" w:rsidR="00A577A3" w:rsidRPr="00573370" w:rsidRDefault="00573370" w:rsidP="00573370">
      <w:pPr>
        <w:spacing w:after="160" w:line="259" w:lineRule="auto"/>
        <w:jc w:val="left"/>
        <w:rPr>
          <w:i/>
          <w:sz w:val="20"/>
        </w:rPr>
      </w:pPr>
      <w:r>
        <w:br w:type="page"/>
      </w:r>
    </w:p>
    <w:p w14:paraId="1898C1D5" w14:textId="6647571C" w:rsidR="009C0B00" w:rsidRDefault="009C0B00" w:rsidP="009C0B00">
      <w:pPr>
        <w:pStyle w:val="Nadpis2"/>
      </w:pPr>
      <w:bookmarkStart w:id="25" w:name="_Toc200479690"/>
      <w:r>
        <w:lastRenderedPageBreak/>
        <w:t>Rok 2023</w:t>
      </w:r>
      <w:bookmarkEnd w:id="25"/>
    </w:p>
    <w:p w14:paraId="1D63B23F" w14:textId="06E1A5CB" w:rsidR="00573370" w:rsidRPr="00573370" w:rsidRDefault="00573370" w:rsidP="00573370">
      <w:pPr>
        <w:pStyle w:val="Titulek"/>
      </w:pPr>
      <w:r>
        <w:t>Obr.2: DuPont rozklad za rok 2023</w:t>
      </w:r>
    </w:p>
    <w:p w14:paraId="6DCF17AE" w14:textId="7A3DC556" w:rsidR="00573370" w:rsidRDefault="00573370" w:rsidP="00573370">
      <w:r>
        <w:rPr>
          <w:noProof/>
        </w:rPr>
        <w:drawing>
          <wp:inline distT="0" distB="0" distL="0" distR="0" wp14:anchorId="40884D75" wp14:editId="3AF9157C">
            <wp:extent cx="5978656" cy="3626603"/>
            <wp:effectExtent l="0" t="0" r="317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nímek obrazovky 2025-06-10 213239.png"/>
                    <pic:cNvPicPr/>
                  </pic:nvPicPr>
                  <pic:blipFill>
                    <a:blip r:embed="rId36">
                      <a:extLst>
                        <a:ext uri="{28A0092B-C50C-407E-A947-70E740481C1C}">
                          <a14:useLocalDpi xmlns:a14="http://schemas.microsoft.com/office/drawing/2010/main" val="0"/>
                        </a:ext>
                      </a:extLst>
                    </a:blip>
                    <a:stretch>
                      <a:fillRect/>
                    </a:stretch>
                  </pic:blipFill>
                  <pic:spPr>
                    <a:xfrm>
                      <a:off x="0" y="0"/>
                      <a:ext cx="5983725" cy="3629678"/>
                    </a:xfrm>
                    <a:prstGeom prst="rect">
                      <a:avLst/>
                    </a:prstGeom>
                  </pic:spPr>
                </pic:pic>
              </a:graphicData>
            </a:graphic>
          </wp:inline>
        </w:drawing>
      </w:r>
    </w:p>
    <w:p w14:paraId="5B1A3FBF" w14:textId="77777777" w:rsidR="00573370" w:rsidRDefault="00573370" w:rsidP="00573370">
      <w:pPr>
        <w:pStyle w:val="Zdroj"/>
      </w:pPr>
      <w:r>
        <w:t>Zdroj: Vlastní zpracování na základě Výroční zprávy KU za rok 2023</w:t>
      </w:r>
    </w:p>
    <w:p w14:paraId="2EC87FC3" w14:textId="34EFC419" w:rsidR="00573370" w:rsidRDefault="00AD718F" w:rsidP="00AD718F">
      <w:pPr>
        <w:pStyle w:val="Nadpis2"/>
      </w:pPr>
      <w:r>
        <w:t>Hodnocení</w:t>
      </w:r>
    </w:p>
    <w:p w14:paraId="6D3F8D63" w14:textId="77777777" w:rsidR="00AD718F" w:rsidRPr="00AD718F" w:rsidRDefault="00AD718F" w:rsidP="00AD718F">
      <w:pPr>
        <w:rPr>
          <w:lang w:eastAsia="cs-CZ"/>
        </w:rPr>
      </w:pPr>
      <w:r w:rsidRPr="00AD718F">
        <w:rPr>
          <w:lang w:eastAsia="cs-CZ"/>
        </w:rPr>
        <w:t>Mezi roky 2022 a 2023 došlo k výraznému zlepšení provozní efektivity, což se pozitivně promítlo do růstu ziskové marže i celkové rentability. Finanční páka zůstává mírná, což naznačuje vyvážené financování. Celkově firma prokazuje vyšší výkonnost a lepší schopnost generovat hodnotu pro akcionáře.</w:t>
      </w:r>
    </w:p>
    <w:p w14:paraId="3A20008F" w14:textId="77777777" w:rsidR="00AD718F" w:rsidRPr="00AD718F" w:rsidRDefault="00AD718F" w:rsidP="00AD718F">
      <w:pPr>
        <w:rPr>
          <w:lang w:eastAsia="cs-CZ"/>
        </w:rPr>
      </w:pPr>
      <w:r w:rsidRPr="00AD718F">
        <w:rPr>
          <w:bCs/>
          <w:lang w:eastAsia="cs-CZ"/>
        </w:rPr>
        <w:t>K4 = 4</w:t>
      </w:r>
    </w:p>
    <w:p w14:paraId="3D357CC9" w14:textId="77777777" w:rsidR="00AD718F" w:rsidRPr="00AD718F" w:rsidRDefault="00AD718F" w:rsidP="00AD718F"/>
    <w:p w14:paraId="61F6AD4C" w14:textId="77777777" w:rsidR="00573370" w:rsidRPr="00573370" w:rsidRDefault="00573370" w:rsidP="00573370"/>
    <w:p w14:paraId="3A67BAEC" w14:textId="6C615938" w:rsidR="009C0B00" w:rsidRDefault="009C0B00" w:rsidP="009C0B00">
      <w:pPr>
        <w:pStyle w:val="Nadpis1"/>
      </w:pPr>
      <w:bookmarkStart w:id="26" w:name="_Toc200479691"/>
      <w:r>
        <w:t xml:space="preserve">Altmanovo </w:t>
      </w:r>
      <w:r w:rsidR="00A577A3">
        <w:t>Z-</w:t>
      </w:r>
      <w:r>
        <w:t>skóre</w:t>
      </w:r>
      <w:bookmarkEnd w:id="26"/>
    </w:p>
    <w:p w14:paraId="42692793" w14:textId="21A58BA9" w:rsidR="009C0B00" w:rsidRDefault="009C0B00" w:rsidP="009C0B00">
      <w:pPr>
        <w:pStyle w:val="Nadpis2"/>
      </w:pPr>
      <w:bookmarkStart w:id="27" w:name="_Toc200479692"/>
      <w:r>
        <w:t>Výpočet</w:t>
      </w:r>
      <w:bookmarkEnd w:id="27"/>
    </w:p>
    <w:p w14:paraId="215AB9A5" w14:textId="3796C98E" w:rsidR="002D6ABA" w:rsidRDefault="00AD718F" w:rsidP="00AD718F">
      <w:pPr>
        <w:rPr>
          <w:rStyle w:val="mord"/>
        </w:rPr>
      </w:pPr>
      <w:r>
        <w:rPr>
          <w:rStyle w:val="mord"/>
        </w:rPr>
        <w:t>Z</w:t>
      </w:r>
      <w:r>
        <w:rPr>
          <w:rStyle w:val="mrel"/>
        </w:rPr>
        <w:t>=</w:t>
      </w:r>
      <w:r>
        <w:rPr>
          <w:rStyle w:val="mord"/>
        </w:rPr>
        <w:t>1</w:t>
      </w:r>
      <w:r>
        <w:rPr>
          <w:rStyle w:val="mpunct"/>
        </w:rPr>
        <w:t>,</w:t>
      </w:r>
      <w:r>
        <w:rPr>
          <w:rStyle w:val="mord"/>
        </w:rPr>
        <w:t>2</w:t>
      </w:r>
      <w:r>
        <w:rPr>
          <w:rStyle w:val="mbin"/>
          <w:rFonts w:ascii="Cambria Math" w:hAnsi="Cambria Math" w:cs="Cambria Math"/>
        </w:rPr>
        <w:t>⋅</w:t>
      </w:r>
      <w:r>
        <w:rPr>
          <w:rStyle w:val="mord"/>
        </w:rPr>
        <w:t>X1</w:t>
      </w:r>
      <w:r>
        <w:rPr>
          <w:rStyle w:val="vlist-s"/>
        </w:rPr>
        <w:t>​</w:t>
      </w:r>
      <w:r>
        <w:rPr>
          <w:rStyle w:val="mbin"/>
        </w:rPr>
        <w:t>+</w:t>
      </w:r>
      <w:r>
        <w:rPr>
          <w:rStyle w:val="mord"/>
        </w:rPr>
        <w:t>1</w:t>
      </w:r>
      <w:r>
        <w:rPr>
          <w:rStyle w:val="mpunct"/>
        </w:rPr>
        <w:t>,</w:t>
      </w:r>
      <w:r>
        <w:rPr>
          <w:rStyle w:val="mord"/>
        </w:rPr>
        <w:t>4</w:t>
      </w:r>
      <w:r>
        <w:rPr>
          <w:rStyle w:val="mbin"/>
          <w:rFonts w:ascii="Cambria Math" w:hAnsi="Cambria Math" w:cs="Cambria Math"/>
        </w:rPr>
        <w:t>⋅</w:t>
      </w:r>
      <w:r>
        <w:rPr>
          <w:rStyle w:val="mord"/>
        </w:rPr>
        <w:t>X2</w:t>
      </w:r>
      <w:r>
        <w:rPr>
          <w:rStyle w:val="vlist-s"/>
        </w:rPr>
        <w:t>​</w:t>
      </w:r>
      <w:r>
        <w:rPr>
          <w:rStyle w:val="mbin"/>
        </w:rPr>
        <w:t>+</w:t>
      </w:r>
      <w:r>
        <w:rPr>
          <w:rStyle w:val="mord"/>
        </w:rPr>
        <w:t>3</w:t>
      </w:r>
      <w:r>
        <w:rPr>
          <w:rStyle w:val="mpunct"/>
        </w:rPr>
        <w:t>,</w:t>
      </w:r>
      <w:r>
        <w:rPr>
          <w:rStyle w:val="mord"/>
        </w:rPr>
        <w:t>3</w:t>
      </w:r>
      <w:r>
        <w:rPr>
          <w:rStyle w:val="mbin"/>
          <w:rFonts w:ascii="Cambria Math" w:hAnsi="Cambria Math" w:cs="Cambria Math"/>
        </w:rPr>
        <w:t>⋅</w:t>
      </w:r>
      <w:r>
        <w:rPr>
          <w:rStyle w:val="mord"/>
        </w:rPr>
        <w:t>X3</w:t>
      </w:r>
      <w:r>
        <w:rPr>
          <w:rStyle w:val="vlist-s"/>
        </w:rPr>
        <w:t>​</w:t>
      </w:r>
      <w:r>
        <w:rPr>
          <w:rStyle w:val="mbin"/>
        </w:rPr>
        <w:t>+</w:t>
      </w:r>
      <w:r>
        <w:rPr>
          <w:rStyle w:val="mord"/>
        </w:rPr>
        <w:t>0</w:t>
      </w:r>
      <w:r>
        <w:rPr>
          <w:rStyle w:val="mpunct"/>
        </w:rPr>
        <w:t>,</w:t>
      </w:r>
      <w:r>
        <w:rPr>
          <w:rStyle w:val="mord"/>
        </w:rPr>
        <w:t>6</w:t>
      </w:r>
      <w:r>
        <w:rPr>
          <w:rStyle w:val="mbin"/>
          <w:rFonts w:ascii="Cambria Math" w:hAnsi="Cambria Math" w:cs="Cambria Math"/>
        </w:rPr>
        <w:t>⋅</w:t>
      </w:r>
      <w:r>
        <w:rPr>
          <w:rStyle w:val="mord"/>
        </w:rPr>
        <w:t>X4</w:t>
      </w:r>
      <w:r>
        <w:rPr>
          <w:rStyle w:val="vlist-s"/>
        </w:rPr>
        <w:t>​</w:t>
      </w:r>
      <w:r>
        <w:rPr>
          <w:rStyle w:val="mbin"/>
        </w:rPr>
        <w:t>+</w:t>
      </w:r>
      <w:r>
        <w:rPr>
          <w:rStyle w:val="mord"/>
        </w:rPr>
        <w:t>1</w:t>
      </w:r>
      <w:r>
        <w:rPr>
          <w:rStyle w:val="mpunct"/>
        </w:rPr>
        <w:t>,</w:t>
      </w:r>
      <w:r>
        <w:rPr>
          <w:rStyle w:val="mord"/>
        </w:rPr>
        <w:t>0</w:t>
      </w:r>
      <w:r>
        <w:rPr>
          <w:rStyle w:val="mbin"/>
          <w:rFonts w:ascii="Cambria Math" w:hAnsi="Cambria Math" w:cs="Cambria Math"/>
        </w:rPr>
        <w:t>⋅</w:t>
      </w:r>
      <w:r>
        <w:rPr>
          <w:rStyle w:val="mord"/>
        </w:rPr>
        <w:t>X5</w:t>
      </w:r>
    </w:p>
    <w:p w14:paraId="2EBF2C1F" w14:textId="274224E0" w:rsidR="002D6ABA" w:rsidRDefault="002D6ABA">
      <w:pPr>
        <w:spacing w:after="160" w:line="259" w:lineRule="auto"/>
        <w:jc w:val="left"/>
        <w:rPr>
          <w:rStyle w:val="mord"/>
        </w:rPr>
      </w:pPr>
      <w:r>
        <w:rPr>
          <w:rStyle w:val="mord"/>
        </w:rPr>
        <w:br w:type="page"/>
      </w:r>
    </w:p>
    <w:p w14:paraId="2F8D6298" w14:textId="7E286D90" w:rsidR="002D6ABA" w:rsidRPr="002D6ABA" w:rsidRDefault="002D6ABA" w:rsidP="002D6ABA">
      <w:pPr>
        <w:pStyle w:val="Titulek"/>
        <w:rPr>
          <w:rStyle w:val="mord"/>
        </w:rPr>
      </w:pPr>
      <w:r>
        <w:rPr>
          <w:rStyle w:val="mord"/>
        </w:rPr>
        <w:lastRenderedPageBreak/>
        <w:t>Tab.11: Altmanovo Z-skóre – vzorce a proměnné</w:t>
      </w:r>
    </w:p>
    <w:p w14:paraId="521981D6" w14:textId="70001B3B" w:rsidR="00AD718F" w:rsidRDefault="002D6ABA" w:rsidP="00AD718F">
      <w:r>
        <w:rPr>
          <w:noProof/>
        </w:rPr>
        <w:drawing>
          <wp:inline distT="0" distB="0" distL="0" distR="0" wp14:anchorId="586CF337" wp14:editId="6BCCB4D4">
            <wp:extent cx="5760720" cy="132270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ímek obrazovky 2025-06-10 214937.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1322705"/>
                    </a:xfrm>
                    <a:prstGeom prst="rect">
                      <a:avLst/>
                    </a:prstGeom>
                  </pic:spPr>
                </pic:pic>
              </a:graphicData>
            </a:graphic>
          </wp:inline>
        </w:drawing>
      </w:r>
    </w:p>
    <w:p w14:paraId="64B2DBB3" w14:textId="77777777" w:rsidR="002D6ABA" w:rsidRPr="002D6ABA" w:rsidRDefault="002D6ABA" w:rsidP="002D6ABA">
      <w:pPr>
        <w:numPr>
          <w:ilvl w:val="0"/>
          <w:numId w:val="39"/>
        </w:numPr>
        <w:spacing w:before="100" w:beforeAutospacing="1" w:after="100" w:afterAutospacing="1" w:line="240" w:lineRule="auto"/>
        <w:jc w:val="left"/>
        <w:rPr>
          <w:rFonts w:eastAsia="Times New Roman" w:cstheme="minorHAnsi"/>
          <w:sz w:val="24"/>
          <w:szCs w:val="24"/>
          <w:lang w:eastAsia="cs-CZ"/>
        </w:rPr>
      </w:pPr>
      <w:r w:rsidRPr="002D6ABA">
        <w:rPr>
          <w:rFonts w:eastAsia="Times New Roman" w:cstheme="minorHAnsi"/>
          <w:b/>
          <w:bCs/>
          <w:sz w:val="24"/>
          <w:szCs w:val="24"/>
          <w:lang w:eastAsia="cs-CZ"/>
        </w:rPr>
        <w:t>X₁</w:t>
      </w:r>
      <w:r w:rsidRPr="002D6ABA">
        <w:rPr>
          <w:rFonts w:eastAsia="Times New Roman" w:cstheme="minorHAnsi"/>
          <w:sz w:val="24"/>
          <w:szCs w:val="24"/>
          <w:lang w:eastAsia="cs-CZ"/>
        </w:rPr>
        <w:t xml:space="preserve"> = (Oběžná aktiva – Krátkodobé závazky) / Aktiva celkem</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(1 155 411 − 949 161) / 2 943 927</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xml:space="preserve">= </w:t>
      </w:r>
      <w:r w:rsidRPr="002D6ABA">
        <w:rPr>
          <w:rFonts w:eastAsia="Times New Roman" w:cstheme="minorHAnsi"/>
          <w:b/>
          <w:bCs/>
          <w:sz w:val="24"/>
          <w:szCs w:val="24"/>
          <w:lang w:eastAsia="cs-CZ"/>
        </w:rPr>
        <w:t>0,070</w:t>
      </w:r>
    </w:p>
    <w:p w14:paraId="3CA34396" w14:textId="77777777" w:rsidR="002D6ABA" w:rsidRPr="002D6ABA" w:rsidRDefault="002D6ABA" w:rsidP="002D6ABA">
      <w:pPr>
        <w:numPr>
          <w:ilvl w:val="0"/>
          <w:numId w:val="39"/>
        </w:numPr>
        <w:spacing w:before="100" w:beforeAutospacing="1" w:after="100" w:afterAutospacing="1" w:line="240" w:lineRule="auto"/>
        <w:jc w:val="left"/>
        <w:rPr>
          <w:rFonts w:eastAsia="Times New Roman" w:cstheme="minorHAnsi"/>
          <w:sz w:val="24"/>
          <w:szCs w:val="24"/>
          <w:lang w:eastAsia="cs-CZ"/>
        </w:rPr>
      </w:pPr>
      <w:r w:rsidRPr="002D6ABA">
        <w:rPr>
          <w:rFonts w:eastAsia="Times New Roman" w:cstheme="minorHAnsi"/>
          <w:b/>
          <w:bCs/>
          <w:sz w:val="24"/>
          <w:szCs w:val="24"/>
          <w:lang w:eastAsia="cs-CZ"/>
        </w:rPr>
        <w:t>X₂</w:t>
      </w:r>
      <w:r w:rsidRPr="002D6ABA">
        <w:rPr>
          <w:rFonts w:eastAsia="Times New Roman" w:cstheme="minorHAnsi"/>
          <w:sz w:val="24"/>
          <w:szCs w:val="24"/>
          <w:lang w:eastAsia="cs-CZ"/>
        </w:rPr>
        <w:t xml:space="preserve"> = Zadržené výdělky / Aktiva celkem</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152 641 / 2 943 927</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xml:space="preserve">= </w:t>
      </w:r>
      <w:r w:rsidRPr="002D6ABA">
        <w:rPr>
          <w:rFonts w:eastAsia="Times New Roman" w:cstheme="minorHAnsi"/>
          <w:b/>
          <w:bCs/>
          <w:sz w:val="24"/>
          <w:szCs w:val="24"/>
          <w:lang w:eastAsia="cs-CZ"/>
        </w:rPr>
        <w:t>0,052</w:t>
      </w:r>
    </w:p>
    <w:p w14:paraId="5E649800" w14:textId="77777777" w:rsidR="002D6ABA" w:rsidRPr="002D6ABA" w:rsidRDefault="002D6ABA" w:rsidP="002D6ABA">
      <w:pPr>
        <w:numPr>
          <w:ilvl w:val="0"/>
          <w:numId w:val="39"/>
        </w:numPr>
        <w:spacing w:before="100" w:beforeAutospacing="1" w:after="100" w:afterAutospacing="1" w:line="240" w:lineRule="auto"/>
        <w:jc w:val="left"/>
        <w:rPr>
          <w:rFonts w:eastAsia="Times New Roman" w:cstheme="minorHAnsi"/>
          <w:sz w:val="24"/>
          <w:szCs w:val="24"/>
          <w:lang w:eastAsia="cs-CZ"/>
        </w:rPr>
      </w:pPr>
      <w:r w:rsidRPr="002D6ABA">
        <w:rPr>
          <w:rFonts w:eastAsia="Times New Roman" w:cstheme="minorHAnsi"/>
          <w:b/>
          <w:bCs/>
          <w:sz w:val="24"/>
          <w:szCs w:val="24"/>
          <w:lang w:eastAsia="cs-CZ"/>
        </w:rPr>
        <w:t>X₃</w:t>
      </w:r>
      <w:r w:rsidRPr="002D6ABA">
        <w:rPr>
          <w:rFonts w:eastAsia="Times New Roman" w:cstheme="minorHAnsi"/>
          <w:sz w:val="24"/>
          <w:szCs w:val="24"/>
          <w:lang w:eastAsia="cs-CZ"/>
        </w:rPr>
        <w:t xml:space="preserve"> = EBIT / Aktiva celkem</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163 667 / 2 943 927</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xml:space="preserve">= </w:t>
      </w:r>
      <w:r w:rsidRPr="002D6ABA">
        <w:rPr>
          <w:rFonts w:eastAsia="Times New Roman" w:cstheme="minorHAnsi"/>
          <w:b/>
          <w:bCs/>
          <w:sz w:val="24"/>
          <w:szCs w:val="24"/>
          <w:lang w:eastAsia="cs-CZ"/>
        </w:rPr>
        <w:t>0,056</w:t>
      </w:r>
    </w:p>
    <w:p w14:paraId="54280EEA" w14:textId="77777777" w:rsidR="002D6ABA" w:rsidRPr="002D6ABA" w:rsidRDefault="002D6ABA" w:rsidP="002D6ABA">
      <w:pPr>
        <w:numPr>
          <w:ilvl w:val="0"/>
          <w:numId w:val="39"/>
        </w:numPr>
        <w:spacing w:before="100" w:beforeAutospacing="1" w:after="100" w:afterAutospacing="1" w:line="240" w:lineRule="auto"/>
        <w:jc w:val="left"/>
        <w:rPr>
          <w:rFonts w:eastAsia="Times New Roman" w:cstheme="minorHAnsi"/>
          <w:sz w:val="24"/>
          <w:szCs w:val="24"/>
          <w:lang w:eastAsia="cs-CZ"/>
        </w:rPr>
      </w:pPr>
      <w:r w:rsidRPr="002D6ABA">
        <w:rPr>
          <w:rFonts w:eastAsia="Times New Roman" w:cstheme="minorHAnsi"/>
          <w:b/>
          <w:bCs/>
          <w:sz w:val="24"/>
          <w:szCs w:val="24"/>
          <w:lang w:eastAsia="cs-CZ"/>
        </w:rPr>
        <w:t>X₄</w:t>
      </w:r>
      <w:r w:rsidRPr="002D6ABA">
        <w:rPr>
          <w:rFonts w:eastAsia="Times New Roman" w:cstheme="minorHAnsi"/>
          <w:sz w:val="24"/>
          <w:szCs w:val="24"/>
          <w:lang w:eastAsia="cs-CZ"/>
        </w:rPr>
        <w:t xml:space="preserve"> = Tržní hodnota vlastního kapitálu / Cizí zdroje</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1 466 330 / 1 676 220</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xml:space="preserve">= </w:t>
      </w:r>
      <w:r w:rsidRPr="002D6ABA">
        <w:rPr>
          <w:rFonts w:eastAsia="Times New Roman" w:cstheme="minorHAnsi"/>
          <w:b/>
          <w:bCs/>
          <w:sz w:val="24"/>
          <w:szCs w:val="24"/>
          <w:lang w:eastAsia="cs-CZ"/>
        </w:rPr>
        <w:t>0,875</w:t>
      </w:r>
    </w:p>
    <w:p w14:paraId="1FD11BD3" w14:textId="7CC2594A" w:rsidR="002D6ABA" w:rsidRPr="002D6ABA" w:rsidRDefault="002D6ABA" w:rsidP="002D6ABA">
      <w:pPr>
        <w:numPr>
          <w:ilvl w:val="0"/>
          <w:numId w:val="39"/>
        </w:numPr>
        <w:spacing w:before="100" w:beforeAutospacing="1" w:after="100" w:afterAutospacing="1" w:line="240" w:lineRule="auto"/>
        <w:jc w:val="left"/>
        <w:rPr>
          <w:rFonts w:eastAsia="Times New Roman" w:cstheme="minorHAnsi"/>
          <w:sz w:val="24"/>
          <w:szCs w:val="24"/>
          <w:lang w:eastAsia="cs-CZ"/>
        </w:rPr>
      </w:pPr>
      <w:r w:rsidRPr="002D6ABA">
        <w:rPr>
          <w:rFonts w:eastAsia="Times New Roman" w:cstheme="minorHAnsi"/>
          <w:b/>
          <w:bCs/>
          <w:sz w:val="24"/>
          <w:szCs w:val="24"/>
          <w:lang w:eastAsia="cs-CZ"/>
        </w:rPr>
        <w:t>X₅</w:t>
      </w:r>
      <w:r w:rsidRPr="002D6ABA">
        <w:rPr>
          <w:rFonts w:eastAsia="Times New Roman" w:cstheme="minorHAnsi"/>
          <w:sz w:val="24"/>
          <w:szCs w:val="24"/>
          <w:lang w:eastAsia="cs-CZ"/>
        </w:rPr>
        <w:t xml:space="preserve"> = Tržby / Aktiva celkem</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6 316 750 / 2 943 927</w:t>
      </w:r>
      <w:r w:rsidRPr="002D6ABA">
        <w:rPr>
          <w:rFonts w:eastAsia="Times New Roman" w:cstheme="minorHAnsi"/>
          <w:sz w:val="24"/>
          <w:szCs w:val="24"/>
          <w:lang w:eastAsia="cs-CZ"/>
        </w:rPr>
        <w:br/>
      </w:r>
      <w:r w:rsidRPr="002D6ABA">
        <w:rPr>
          <w:rFonts w:eastAsia="Times New Roman" w:cstheme="minorHAnsi"/>
          <w:sz w:val="24"/>
          <w:szCs w:val="24"/>
          <w:lang w:eastAsia="cs-CZ"/>
        </w:rPr>
        <w:t> </w:t>
      </w:r>
      <w:r w:rsidRPr="002D6ABA">
        <w:rPr>
          <w:rFonts w:eastAsia="Times New Roman" w:cstheme="minorHAnsi"/>
          <w:sz w:val="24"/>
          <w:szCs w:val="24"/>
          <w:lang w:eastAsia="cs-CZ"/>
        </w:rPr>
        <w:t> </w:t>
      </w:r>
      <w:r w:rsidRPr="002D6ABA">
        <w:rPr>
          <w:rFonts w:eastAsia="Times New Roman" w:cstheme="minorHAnsi"/>
          <w:sz w:val="24"/>
          <w:szCs w:val="24"/>
          <w:lang w:eastAsia="cs-CZ"/>
        </w:rPr>
        <w:t xml:space="preserve">= </w:t>
      </w:r>
      <w:r w:rsidRPr="002D6ABA">
        <w:rPr>
          <w:rFonts w:eastAsia="Times New Roman" w:cstheme="minorHAnsi"/>
          <w:b/>
          <w:bCs/>
          <w:sz w:val="24"/>
          <w:szCs w:val="24"/>
          <w:lang w:eastAsia="cs-CZ"/>
        </w:rPr>
        <w:t>2,146</w:t>
      </w:r>
    </w:p>
    <w:p w14:paraId="46E859BA" w14:textId="77777777" w:rsidR="002D6ABA" w:rsidRPr="002D6ABA" w:rsidRDefault="002D6ABA" w:rsidP="002D6ABA">
      <w:pPr>
        <w:spacing w:before="100" w:beforeAutospacing="1" w:after="100" w:afterAutospacing="1" w:line="240" w:lineRule="auto"/>
        <w:ind w:left="720"/>
        <w:jc w:val="left"/>
        <w:rPr>
          <w:rFonts w:eastAsia="Times New Roman" w:cstheme="minorHAnsi"/>
          <w:sz w:val="24"/>
          <w:szCs w:val="24"/>
          <w:lang w:eastAsia="cs-CZ"/>
        </w:rPr>
      </w:pPr>
    </w:p>
    <w:p w14:paraId="4F219241" w14:textId="342D36F4" w:rsidR="002D6ABA" w:rsidRPr="002D6ABA" w:rsidRDefault="002D6ABA" w:rsidP="00AD718F">
      <w:pPr>
        <w:pStyle w:val="Normlnweb"/>
        <w:numPr>
          <w:ilvl w:val="0"/>
          <w:numId w:val="39"/>
        </w:numPr>
        <w:rPr>
          <w:rFonts w:asciiTheme="minorHAnsi" w:hAnsiTheme="minorHAnsi" w:cstheme="minorHAnsi"/>
        </w:rPr>
      </w:pPr>
      <w:r w:rsidRPr="002D6ABA">
        <w:rPr>
          <w:rFonts w:asciiTheme="minorHAnsi" w:hAnsiTheme="minorHAnsi" w:cstheme="minorHAnsi"/>
        </w:rPr>
        <w:t>Z = 1,2 × 0,070 + 1,4 × 0,052 + 3,3 × 0,056 + 0,6 × 0,875 + 1,0 × 2,146</w:t>
      </w:r>
      <w:r w:rsidRPr="002D6ABA">
        <w:rPr>
          <w:rFonts w:asciiTheme="minorHAnsi" w:hAnsiTheme="minorHAnsi" w:cstheme="minorHAnsi"/>
        </w:rPr>
        <w:br/>
        <w:t>Z = 0,084 + 0,073 + 0,185 + 0,525 + 2,146</w:t>
      </w:r>
      <w:r w:rsidRPr="002D6ABA">
        <w:rPr>
          <w:rFonts w:asciiTheme="minorHAnsi" w:hAnsiTheme="minorHAnsi" w:cstheme="minorHAnsi"/>
        </w:rPr>
        <w:br/>
      </w:r>
      <w:r w:rsidRPr="002D6ABA">
        <w:rPr>
          <w:rFonts w:asciiTheme="minorHAnsi" w:hAnsiTheme="minorHAnsi" w:cstheme="minorHAnsi"/>
          <w:highlight w:val="yellow"/>
        </w:rPr>
        <w:t xml:space="preserve">Z = </w:t>
      </w:r>
      <w:r w:rsidRPr="002D6ABA">
        <w:rPr>
          <w:rStyle w:val="Siln"/>
          <w:rFonts w:asciiTheme="minorHAnsi" w:eastAsiaTheme="majorEastAsia" w:hAnsiTheme="minorHAnsi" w:cstheme="minorHAnsi"/>
          <w:highlight w:val="yellow"/>
        </w:rPr>
        <w:t>3,01</w:t>
      </w:r>
    </w:p>
    <w:p w14:paraId="6DD0615E" w14:textId="4B676223" w:rsidR="009C0B00" w:rsidRDefault="009C0B00" w:rsidP="009C0B00">
      <w:pPr>
        <w:pStyle w:val="Nadpis2"/>
      </w:pPr>
      <w:bookmarkStart w:id="28" w:name="_Toc200479693"/>
      <w:r>
        <w:t>Hodnocení</w:t>
      </w:r>
      <w:bookmarkEnd w:id="28"/>
    </w:p>
    <w:p w14:paraId="709CF159" w14:textId="6C185A06" w:rsidR="002D6ABA" w:rsidRDefault="002D6ABA" w:rsidP="002D6ABA">
      <w:r w:rsidRPr="002D6ABA">
        <w:t xml:space="preserve">Hodnota Z-skóre ve výši </w:t>
      </w:r>
      <w:r w:rsidRPr="002D6ABA">
        <w:rPr>
          <w:rStyle w:val="Siln"/>
          <w:b w:val="0"/>
        </w:rPr>
        <w:t>3,01</w:t>
      </w:r>
      <w:r w:rsidRPr="002D6ABA">
        <w:t xml:space="preserve"> za rok 2023 řadí podnik do pásma </w:t>
      </w:r>
      <w:r w:rsidRPr="002D6ABA">
        <w:rPr>
          <w:rStyle w:val="Siln"/>
          <w:b w:val="0"/>
        </w:rPr>
        <w:t>finanční stability</w:t>
      </w:r>
      <w:r w:rsidRPr="002D6ABA">
        <w:t xml:space="preserve"> (</w:t>
      </w:r>
      <w:proofErr w:type="gramStart"/>
      <w:r w:rsidRPr="002D6ABA">
        <w:t>Z &gt;</w:t>
      </w:r>
      <w:proofErr w:type="gramEnd"/>
      <w:r w:rsidRPr="002D6ABA">
        <w:t xml:space="preserve"> 2,99), což znamená velmi nízké riziko úpadku. Zlepšení oproti předchozímu období je výsledkem pozitivního hospodářského výsledku, růstu tržeb a efektivního řízení nákladů.</w:t>
      </w:r>
    </w:p>
    <w:p w14:paraId="7D427683" w14:textId="48163D6C" w:rsidR="002D6ABA" w:rsidRPr="002D6ABA" w:rsidRDefault="002D6ABA" w:rsidP="002D6ABA">
      <w:r>
        <w:t>K5 = 4,5</w:t>
      </w:r>
    </w:p>
    <w:p w14:paraId="7C951003" w14:textId="6F31024E" w:rsidR="009C0B00" w:rsidRDefault="009C0B00" w:rsidP="009C0B00">
      <w:pPr>
        <w:pStyle w:val="Nadpis1"/>
      </w:pPr>
      <w:bookmarkStart w:id="29" w:name="_Toc200479694"/>
      <w:r>
        <w:t>Rating společnosti</w:t>
      </w:r>
      <w:bookmarkEnd w:id="29"/>
    </w:p>
    <w:p w14:paraId="0C23C61B" w14:textId="284715D4" w:rsidR="00C30D79" w:rsidRDefault="00C30D79" w:rsidP="00C30D79">
      <w:r>
        <w:t>Váhy jednotlivých kritérií byly stanoveny na základě jejich relevance k celkové finanční stabilitě podniku. Největší důraz byl kladen na Altmanovo Z-skóre (váha 0,4), které přímo predikuje riziko úpadku. DuPont analýza (váha 0,1) doplňuje pohled na rentabilitu a efektivitu. Ostatní tři oblasti – rozvaha a výsledovka, cash-</w:t>
      </w:r>
      <w:proofErr w:type="spellStart"/>
      <w:r>
        <w:t>flow</w:t>
      </w:r>
      <w:proofErr w:type="spellEnd"/>
      <w:r>
        <w:t xml:space="preserve"> a rozdílové ukazatele, a poměrové ukazatele – byly ohodnoceny rovnoměrně váhou 0,2, protože společně vytvářejí komplexní pohled na finanční zdraví firmy.</w:t>
      </w:r>
    </w:p>
    <w:p w14:paraId="4A1D3716" w14:textId="12CFAEF2" w:rsidR="00C30D79" w:rsidRDefault="00C30D79" w:rsidP="00C30D79"/>
    <w:p w14:paraId="447734E2" w14:textId="0C912C12" w:rsidR="00C30D79" w:rsidRDefault="00C30D79" w:rsidP="00C30D79">
      <w:pPr>
        <w:pStyle w:val="Titulek"/>
      </w:pPr>
      <w:r>
        <w:lastRenderedPageBreak/>
        <w:t xml:space="preserve">Tab.12: </w:t>
      </w:r>
      <w:r w:rsidR="0034605D">
        <w:t>Rating</w:t>
      </w:r>
    </w:p>
    <w:p w14:paraId="2426F99E" w14:textId="50441F51" w:rsidR="00C30D79" w:rsidRDefault="00C30D79" w:rsidP="00C30D79">
      <w:r>
        <w:rPr>
          <w:noProof/>
        </w:rPr>
        <w:drawing>
          <wp:inline distT="0" distB="0" distL="0" distR="0" wp14:anchorId="607252B2" wp14:editId="3E8516FD">
            <wp:extent cx="5760720" cy="14458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nímek obrazovky 2025-06-10 221513.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1445895"/>
                    </a:xfrm>
                    <a:prstGeom prst="rect">
                      <a:avLst/>
                    </a:prstGeom>
                  </pic:spPr>
                </pic:pic>
              </a:graphicData>
            </a:graphic>
          </wp:inline>
        </w:drawing>
      </w:r>
    </w:p>
    <w:p w14:paraId="0199D23E" w14:textId="77777777" w:rsidR="00C30D79" w:rsidRDefault="00C30D79" w:rsidP="00C30D79"/>
    <w:p w14:paraId="0634A750" w14:textId="77777777" w:rsidR="0034605D" w:rsidRPr="0034605D" w:rsidRDefault="0034605D" w:rsidP="0034605D">
      <w:pPr>
        <w:pStyle w:val="Normlnweb"/>
        <w:rPr>
          <w:rFonts w:asciiTheme="minorHAnsi" w:hAnsiTheme="minorHAnsi" w:cstheme="minorHAnsi"/>
        </w:rPr>
      </w:pPr>
      <w:r w:rsidRPr="0034605D">
        <w:rPr>
          <w:rFonts w:asciiTheme="minorHAnsi" w:hAnsiTheme="minorHAnsi" w:cstheme="minorHAnsi"/>
        </w:rPr>
        <w:t>K® = K1 × v1 + K2 × v2 + K3 × v3 + K4 × v4 + K5 × v5</w:t>
      </w:r>
      <w:r w:rsidRPr="0034605D">
        <w:rPr>
          <w:rFonts w:asciiTheme="minorHAnsi" w:hAnsiTheme="minorHAnsi" w:cstheme="minorHAnsi"/>
        </w:rPr>
        <w:br/>
        <w:t>K® = 5 × 0,2 + 3 × 0,2 + 3 × 0,2 + 4 × 0,1 + 4,5 × 0,4</w:t>
      </w:r>
      <w:r w:rsidRPr="0034605D">
        <w:rPr>
          <w:rFonts w:asciiTheme="minorHAnsi" w:hAnsiTheme="minorHAnsi" w:cstheme="minorHAnsi"/>
        </w:rPr>
        <w:br/>
        <w:t xml:space="preserve">K® = 1,0 + 0,6 + 0,6 + 0,4 + 1,8 </w:t>
      </w:r>
      <w:r w:rsidRPr="0034605D">
        <w:rPr>
          <w:rFonts w:asciiTheme="minorHAnsi" w:hAnsiTheme="minorHAnsi" w:cstheme="minorHAnsi"/>
          <w:highlight w:val="yellow"/>
        </w:rPr>
        <w:t xml:space="preserve">= </w:t>
      </w:r>
      <w:r w:rsidRPr="0034605D">
        <w:rPr>
          <w:rStyle w:val="Siln"/>
          <w:rFonts w:asciiTheme="minorHAnsi" w:eastAsiaTheme="majorEastAsia" w:hAnsiTheme="minorHAnsi" w:cstheme="minorHAnsi"/>
          <w:highlight w:val="yellow"/>
        </w:rPr>
        <w:t>4,4</w:t>
      </w:r>
    </w:p>
    <w:p w14:paraId="24DB6FDF" w14:textId="77777777" w:rsidR="00C30D79" w:rsidRDefault="00C30D79" w:rsidP="00C30D79">
      <w:pPr>
        <w:rPr>
          <w:lang w:val="en-US"/>
        </w:rPr>
      </w:pPr>
      <w:r>
        <w:br/>
        <w:t>Výsledné skóre firmy (K®) = 4.4</w:t>
      </w:r>
    </w:p>
    <w:p w14:paraId="115F746A" w14:textId="77777777" w:rsidR="00C30D79" w:rsidRDefault="00C30D79" w:rsidP="00C30D79">
      <w:r>
        <w:t>Slovní hodnocení: B – velmi dobře+</w:t>
      </w:r>
    </w:p>
    <w:p w14:paraId="1601B50B" w14:textId="77777777" w:rsidR="00C30D79" w:rsidRDefault="00C30D79" w:rsidP="00C30D79">
      <w:pPr>
        <w:pStyle w:val="Nadpis2"/>
      </w:pPr>
      <w:r>
        <w:t>Závěr</w:t>
      </w:r>
    </w:p>
    <w:p w14:paraId="5A8B12C1" w14:textId="77777777" w:rsidR="00C30D79" w:rsidRDefault="00C30D79" w:rsidP="00C30D79">
      <w:r>
        <w:t>Na základě kombinovaného hodnocení dílčích oblastí a zvolených vah bylo dosaženo celkového skóre 4.4, což odpovídá slovnímu hodnocení „B – velmi dobře+“. Společnost Kostelecké uzeniny a.s. vykazuje dobré finanční zdraví, a to zejména díky silnému zisku a stabilnímu Z-skóre. Přestože některé dílčí oblasti, například likvidita, dosahují průměrných hodnot, celkově lze firmu označit za stabilní a s pozitivním výhledem do budoucna.</w:t>
      </w:r>
    </w:p>
    <w:p w14:paraId="3E092211" w14:textId="77777777" w:rsidR="003D7152" w:rsidRPr="003D7152" w:rsidRDefault="003D7152" w:rsidP="003D7152"/>
    <w:p w14:paraId="4257EB9F" w14:textId="77777777" w:rsidR="009C0B00" w:rsidRPr="009C0B00" w:rsidRDefault="009C0B00" w:rsidP="009C0B00"/>
    <w:p w14:paraId="71D18413" w14:textId="6EF68474" w:rsidR="0034605D" w:rsidRDefault="0034605D">
      <w:pPr>
        <w:spacing w:after="160" w:line="259" w:lineRule="auto"/>
        <w:jc w:val="left"/>
      </w:pPr>
      <w:r>
        <w:br w:type="page"/>
      </w:r>
    </w:p>
    <w:p w14:paraId="02443800" w14:textId="33BC4FE4" w:rsidR="009C0B00" w:rsidRDefault="0034605D" w:rsidP="0034605D">
      <w:pPr>
        <w:pStyle w:val="Nzev"/>
      </w:pPr>
      <w:r>
        <w:lastRenderedPageBreak/>
        <w:t>Seznam použité literatury</w:t>
      </w:r>
    </w:p>
    <w:p w14:paraId="5A51B305" w14:textId="77777777" w:rsidR="0034605D" w:rsidRPr="0034605D" w:rsidRDefault="0034605D" w:rsidP="0034605D"/>
    <w:p w14:paraId="576AF692" w14:textId="0B4DB4D1" w:rsidR="0034605D" w:rsidRDefault="0034605D" w:rsidP="0034605D">
      <w:pPr>
        <w:rPr>
          <w:sz w:val="23"/>
          <w:szCs w:val="23"/>
        </w:rPr>
      </w:pPr>
      <w:r>
        <w:rPr>
          <w:sz w:val="23"/>
          <w:szCs w:val="23"/>
        </w:rPr>
        <w:t xml:space="preserve">JIŘÍČEK, Petr a Magda MORÁVKOVÁ. </w:t>
      </w:r>
      <w:r>
        <w:rPr>
          <w:i/>
          <w:iCs/>
          <w:sz w:val="23"/>
          <w:szCs w:val="23"/>
        </w:rPr>
        <w:t>Finanční analýza</w:t>
      </w:r>
      <w:r>
        <w:rPr>
          <w:sz w:val="23"/>
          <w:szCs w:val="23"/>
        </w:rPr>
        <w:t>. Jihlava: Vysoká škola polytechnická Jihlava, 2008. ISBN 978-80-87035-14-6.</w:t>
      </w:r>
    </w:p>
    <w:p w14:paraId="3F1E5BEA" w14:textId="557005B2" w:rsidR="0034605D" w:rsidRDefault="0034605D" w:rsidP="0034605D">
      <w:pPr>
        <w:rPr>
          <w:sz w:val="23"/>
          <w:szCs w:val="23"/>
        </w:rPr>
      </w:pPr>
      <w:r>
        <w:rPr>
          <w:rFonts w:ascii="Arial" w:hAnsi="Arial" w:cs="Arial"/>
          <w:i/>
          <w:iCs/>
          <w:color w:val="212529"/>
          <w:shd w:val="clear" w:color="auto" w:fill="FFFFFF"/>
        </w:rPr>
        <w:t>Veřejný rejstřík a Sbírka listin</w:t>
      </w:r>
      <w:r>
        <w:rPr>
          <w:rFonts w:ascii="Arial" w:hAnsi="Arial" w:cs="Arial"/>
          <w:color w:val="212529"/>
          <w:shd w:val="clear" w:color="auto" w:fill="FFFFFF"/>
        </w:rPr>
        <w:t>. Online. C2025. Dostupné z: </w:t>
      </w:r>
      <w:hyperlink r:id="rId39" w:history="1">
        <w:r>
          <w:rPr>
            <w:rStyle w:val="Hypertextovodkaz"/>
            <w:rFonts w:ascii="Arial" w:hAnsi="Arial" w:cs="Arial"/>
            <w:color w:val="0D6EFD"/>
            <w:shd w:val="clear" w:color="auto" w:fill="FFFFFF"/>
          </w:rPr>
          <w:t>https://or.justice.cz/ias/ui/rejstrik-$firma?jenPlatne=PLATNE&amp;nazev=kosteleck%C3%A9+uzeniny&amp;polozek=50&amp;typHledani=STARTS_WITH</w:t>
        </w:r>
      </w:hyperlink>
      <w:r>
        <w:rPr>
          <w:rFonts w:ascii="Arial" w:hAnsi="Arial" w:cs="Arial"/>
          <w:color w:val="212529"/>
          <w:shd w:val="clear" w:color="auto" w:fill="FFFFFF"/>
        </w:rPr>
        <w:t>. [cit. 2025-06-10].</w:t>
      </w:r>
    </w:p>
    <w:p w14:paraId="05F56F52" w14:textId="77777777" w:rsidR="0034605D" w:rsidRPr="0034605D" w:rsidRDefault="0034605D" w:rsidP="0034605D"/>
    <w:p w14:paraId="58441414" w14:textId="77777777" w:rsidR="009C0B00" w:rsidRPr="009C0B00" w:rsidRDefault="009C0B00" w:rsidP="009C0B00"/>
    <w:p w14:paraId="075F061B" w14:textId="77777777" w:rsidR="00D66422" w:rsidRPr="00D66422" w:rsidRDefault="00D66422" w:rsidP="00D66422"/>
    <w:sectPr w:rsidR="00D66422" w:rsidRPr="00D66422">
      <w:footerReference w:type="default" r:id="rId40"/>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A2FF9A" w16cex:dateUtc="2021-01-08T14:58:00Z"/>
  <w16cex:commentExtensible w16cex:durableId="529E60D2" w16cex:dateUtc="2021-01-09T13:05:11.88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1C937" w14:textId="77777777" w:rsidR="007C71C2" w:rsidRDefault="007C71C2" w:rsidP="002D35A4">
      <w:pPr>
        <w:spacing w:after="0" w:line="240" w:lineRule="auto"/>
      </w:pPr>
      <w:r>
        <w:separator/>
      </w:r>
    </w:p>
  </w:endnote>
  <w:endnote w:type="continuationSeparator" w:id="0">
    <w:p w14:paraId="0DF2ED0F" w14:textId="77777777" w:rsidR="007C71C2" w:rsidRDefault="007C71C2" w:rsidP="002D35A4">
      <w:pPr>
        <w:spacing w:after="0" w:line="240" w:lineRule="auto"/>
      </w:pPr>
      <w:r>
        <w:continuationSeparator/>
      </w:r>
    </w:p>
  </w:endnote>
  <w:endnote w:type="continuationNotice" w:id="1">
    <w:p w14:paraId="45CF6553" w14:textId="77777777" w:rsidR="007C71C2" w:rsidRDefault="007C7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0428D" w14:textId="384F9A8D" w:rsidR="0004256E" w:rsidRDefault="0004256E" w:rsidP="00ED5819">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C8543" w14:textId="447C02C3" w:rsidR="0004256E" w:rsidRPr="005D11AB" w:rsidRDefault="0004256E" w:rsidP="005D11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5DDF1" w14:textId="77777777" w:rsidR="007C71C2" w:rsidRDefault="007C71C2" w:rsidP="002D35A4">
      <w:pPr>
        <w:spacing w:after="0" w:line="240" w:lineRule="auto"/>
      </w:pPr>
      <w:r>
        <w:separator/>
      </w:r>
    </w:p>
  </w:footnote>
  <w:footnote w:type="continuationSeparator" w:id="0">
    <w:p w14:paraId="43569A16" w14:textId="77777777" w:rsidR="007C71C2" w:rsidRDefault="007C71C2" w:rsidP="002D35A4">
      <w:pPr>
        <w:spacing w:after="0" w:line="240" w:lineRule="auto"/>
      </w:pPr>
      <w:r>
        <w:continuationSeparator/>
      </w:r>
    </w:p>
  </w:footnote>
  <w:footnote w:type="continuationNotice" w:id="1">
    <w:p w14:paraId="0A24F8F6" w14:textId="77777777" w:rsidR="007C71C2" w:rsidRDefault="007C71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CA1"/>
    <w:multiLevelType w:val="hybridMultilevel"/>
    <w:tmpl w:val="33688C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7F22AE"/>
    <w:multiLevelType w:val="hybridMultilevel"/>
    <w:tmpl w:val="6CD83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E71BF3"/>
    <w:multiLevelType w:val="hybridMultilevel"/>
    <w:tmpl w:val="E56032BA"/>
    <w:lvl w:ilvl="0" w:tplc="7400B79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3424FC"/>
    <w:multiLevelType w:val="multilevel"/>
    <w:tmpl w:val="101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40DC5"/>
    <w:multiLevelType w:val="multilevel"/>
    <w:tmpl w:val="70642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04" w:hanging="5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D7329F"/>
    <w:multiLevelType w:val="multilevel"/>
    <w:tmpl w:val="9618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2097C"/>
    <w:multiLevelType w:val="hybridMultilevel"/>
    <w:tmpl w:val="0624F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FC79D6"/>
    <w:multiLevelType w:val="hybridMultilevel"/>
    <w:tmpl w:val="B94E8D80"/>
    <w:lvl w:ilvl="0" w:tplc="7400B79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0546C6"/>
    <w:multiLevelType w:val="hybridMultilevel"/>
    <w:tmpl w:val="1A2674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0136B9A"/>
    <w:multiLevelType w:val="hybridMultilevel"/>
    <w:tmpl w:val="8F3C8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28A6104"/>
    <w:multiLevelType w:val="hybridMultilevel"/>
    <w:tmpl w:val="57F82A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931792"/>
    <w:multiLevelType w:val="hybridMultilevel"/>
    <w:tmpl w:val="0405001D"/>
    <w:lvl w:ilvl="0" w:tplc="16E4A1BE">
      <w:start w:val="1"/>
      <w:numFmt w:val="decimal"/>
      <w:lvlText w:val="%1)"/>
      <w:lvlJc w:val="left"/>
      <w:pPr>
        <w:ind w:left="360" w:hanging="360"/>
      </w:pPr>
    </w:lvl>
    <w:lvl w:ilvl="1" w:tplc="7AEE7F84">
      <w:start w:val="1"/>
      <w:numFmt w:val="lowerLetter"/>
      <w:lvlText w:val="%2)"/>
      <w:lvlJc w:val="left"/>
      <w:pPr>
        <w:ind w:left="720" w:hanging="360"/>
      </w:pPr>
    </w:lvl>
    <w:lvl w:ilvl="2" w:tplc="5BE4B1EE">
      <w:start w:val="1"/>
      <w:numFmt w:val="lowerRoman"/>
      <w:lvlText w:val="%3)"/>
      <w:lvlJc w:val="left"/>
      <w:pPr>
        <w:ind w:left="1080" w:hanging="360"/>
      </w:pPr>
    </w:lvl>
    <w:lvl w:ilvl="3" w:tplc="99864766">
      <w:start w:val="1"/>
      <w:numFmt w:val="decimal"/>
      <w:lvlText w:val="(%4)"/>
      <w:lvlJc w:val="left"/>
      <w:pPr>
        <w:ind w:left="1440" w:hanging="360"/>
      </w:pPr>
    </w:lvl>
    <w:lvl w:ilvl="4" w:tplc="AA40C512">
      <w:start w:val="1"/>
      <w:numFmt w:val="lowerLetter"/>
      <w:lvlText w:val="(%5)"/>
      <w:lvlJc w:val="left"/>
      <w:pPr>
        <w:ind w:left="1800" w:hanging="360"/>
      </w:pPr>
    </w:lvl>
    <w:lvl w:ilvl="5" w:tplc="BF9AF778">
      <w:start w:val="1"/>
      <w:numFmt w:val="lowerRoman"/>
      <w:lvlText w:val="(%6)"/>
      <w:lvlJc w:val="left"/>
      <w:pPr>
        <w:ind w:left="2160" w:hanging="360"/>
      </w:pPr>
    </w:lvl>
    <w:lvl w:ilvl="6" w:tplc="6B5289B0">
      <w:start w:val="1"/>
      <w:numFmt w:val="decimal"/>
      <w:lvlText w:val="%7."/>
      <w:lvlJc w:val="left"/>
      <w:pPr>
        <w:ind w:left="2520" w:hanging="360"/>
      </w:pPr>
    </w:lvl>
    <w:lvl w:ilvl="7" w:tplc="CBAC215E">
      <w:start w:val="1"/>
      <w:numFmt w:val="lowerLetter"/>
      <w:lvlText w:val="%8."/>
      <w:lvlJc w:val="left"/>
      <w:pPr>
        <w:ind w:left="2880" w:hanging="360"/>
      </w:pPr>
    </w:lvl>
    <w:lvl w:ilvl="8" w:tplc="716CE0F6">
      <w:start w:val="1"/>
      <w:numFmt w:val="lowerRoman"/>
      <w:lvlText w:val="%9."/>
      <w:lvlJc w:val="left"/>
      <w:pPr>
        <w:ind w:left="3240" w:hanging="360"/>
      </w:pPr>
    </w:lvl>
  </w:abstractNum>
  <w:abstractNum w:abstractNumId="12" w15:restartNumberingAfterBreak="0">
    <w:nsid w:val="257945F4"/>
    <w:multiLevelType w:val="multilevel"/>
    <w:tmpl w:val="EC4C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010F8"/>
    <w:multiLevelType w:val="multilevel"/>
    <w:tmpl w:val="4266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96E15"/>
    <w:multiLevelType w:val="hybridMultilevel"/>
    <w:tmpl w:val="E3DAD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D12EE2"/>
    <w:multiLevelType w:val="hybridMultilevel"/>
    <w:tmpl w:val="B394B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458496D"/>
    <w:multiLevelType w:val="multilevel"/>
    <w:tmpl w:val="2ADA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E634F"/>
    <w:multiLevelType w:val="multilevel"/>
    <w:tmpl w:val="090672B6"/>
    <w:lvl w:ilvl="0">
      <w:start w:val="1"/>
      <w:numFmt w:val="decimal"/>
      <w:lvlText w:val="%1"/>
      <w:lvlJc w:val="left"/>
      <w:pPr>
        <w:tabs>
          <w:tab w:val="num" w:pos="574"/>
        </w:tabs>
        <w:ind w:left="57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387228FC"/>
    <w:multiLevelType w:val="hybridMultilevel"/>
    <w:tmpl w:val="9BB891CC"/>
    <w:lvl w:ilvl="0" w:tplc="7F2AFAB4">
      <w:start w:val="1"/>
      <w:numFmt w:val="decimal"/>
      <w:lvlText w:val="%1."/>
      <w:lvlJc w:val="left"/>
      <w:pPr>
        <w:ind w:left="360" w:hanging="360"/>
      </w:pPr>
      <w:rPr>
        <w:rFonts w:hint="default"/>
      </w:rPr>
    </w:lvl>
    <w:lvl w:ilvl="1" w:tplc="5A469894">
      <w:start w:val="1"/>
      <w:numFmt w:val="lowerLetter"/>
      <w:lvlText w:val="%2)"/>
      <w:lvlJc w:val="left"/>
      <w:pPr>
        <w:ind w:left="720" w:hanging="360"/>
      </w:pPr>
      <w:rPr>
        <w:rFonts w:hint="default"/>
      </w:rPr>
    </w:lvl>
    <w:lvl w:ilvl="2" w:tplc="CC185444">
      <w:start w:val="1"/>
      <w:numFmt w:val="bullet"/>
      <w:lvlText w:val=""/>
      <w:lvlJc w:val="left"/>
      <w:pPr>
        <w:ind w:left="1080" w:hanging="360"/>
      </w:pPr>
      <w:rPr>
        <w:rFonts w:ascii="Symbol" w:hAnsi="Symbol" w:hint="default"/>
      </w:rPr>
    </w:lvl>
    <w:lvl w:ilvl="3" w:tplc="27ECF6C4">
      <w:start w:val="1"/>
      <w:numFmt w:val="decimal"/>
      <w:lvlText w:val="(%4)"/>
      <w:lvlJc w:val="left"/>
      <w:pPr>
        <w:ind w:left="1440" w:hanging="360"/>
      </w:pPr>
      <w:rPr>
        <w:rFonts w:hint="default"/>
      </w:rPr>
    </w:lvl>
    <w:lvl w:ilvl="4" w:tplc="7AF471CC">
      <w:start w:val="1"/>
      <w:numFmt w:val="lowerLetter"/>
      <w:lvlText w:val="(%5)"/>
      <w:lvlJc w:val="left"/>
      <w:pPr>
        <w:ind w:left="1800" w:hanging="360"/>
      </w:pPr>
      <w:rPr>
        <w:rFonts w:hint="default"/>
      </w:rPr>
    </w:lvl>
    <w:lvl w:ilvl="5" w:tplc="10EEBBFA">
      <w:start w:val="1"/>
      <w:numFmt w:val="lowerRoman"/>
      <w:lvlText w:val="(%6)"/>
      <w:lvlJc w:val="left"/>
      <w:pPr>
        <w:ind w:left="2160" w:hanging="360"/>
      </w:pPr>
      <w:rPr>
        <w:rFonts w:hint="default"/>
      </w:rPr>
    </w:lvl>
    <w:lvl w:ilvl="6" w:tplc="E68C3268">
      <w:start w:val="1"/>
      <w:numFmt w:val="decimal"/>
      <w:lvlText w:val="%7."/>
      <w:lvlJc w:val="left"/>
      <w:pPr>
        <w:ind w:left="2520" w:hanging="360"/>
      </w:pPr>
      <w:rPr>
        <w:rFonts w:hint="default"/>
      </w:rPr>
    </w:lvl>
    <w:lvl w:ilvl="7" w:tplc="50AE8292">
      <w:start w:val="1"/>
      <w:numFmt w:val="lowerLetter"/>
      <w:lvlText w:val="%8."/>
      <w:lvlJc w:val="left"/>
      <w:pPr>
        <w:ind w:left="2880" w:hanging="360"/>
      </w:pPr>
      <w:rPr>
        <w:rFonts w:hint="default"/>
      </w:rPr>
    </w:lvl>
    <w:lvl w:ilvl="8" w:tplc="8452A252">
      <w:start w:val="1"/>
      <w:numFmt w:val="lowerRoman"/>
      <w:lvlText w:val="%9."/>
      <w:lvlJc w:val="left"/>
      <w:pPr>
        <w:ind w:left="3240" w:hanging="360"/>
      </w:pPr>
      <w:rPr>
        <w:rFonts w:hint="default"/>
      </w:rPr>
    </w:lvl>
  </w:abstractNum>
  <w:abstractNum w:abstractNumId="19" w15:restartNumberingAfterBreak="0">
    <w:nsid w:val="3B5F5F7D"/>
    <w:multiLevelType w:val="multilevel"/>
    <w:tmpl w:val="F9142A4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E643E8B"/>
    <w:multiLevelType w:val="multilevel"/>
    <w:tmpl w:val="2766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509FF"/>
    <w:multiLevelType w:val="hybridMultilevel"/>
    <w:tmpl w:val="16E6C92C"/>
    <w:lvl w:ilvl="0" w:tplc="63C63928">
      <w:start w:val="1"/>
      <w:numFmt w:val="upperRoman"/>
      <w:lvlText w:val="%1."/>
      <w:lvlJc w:val="left"/>
      <w:pPr>
        <w:tabs>
          <w:tab w:val="num" w:pos="454"/>
        </w:tabs>
        <w:ind w:left="0" w:firstLine="0"/>
      </w:pPr>
      <w:rPr>
        <w:rFonts w:hint="default"/>
      </w:rPr>
    </w:lvl>
    <w:lvl w:ilvl="1" w:tplc="08E6CB66">
      <w:start w:val="1"/>
      <w:numFmt w:val="upperLetter"/>
      <w:lvlText w:val="%2."/>
      <w:lvlJc w:val="left"/>
      <w:pPr>
        <w:tabs>
          <w:tab w:val="num" w:pos="907"/>
        </w:tabs>
        <w:ind w:left="454" w:firstLine="0"/>
      </w:pPr>
      <w:rPr>
        <w:rFonts w:hint="default"/>
      </w:rPr>
    </w:lvl>
    <w:lvl w:ilvl="2" w:tplc="A0961A92">
      <w:start w:val="1"/>
      <w:numFmt w:val="decimal"/>
      <w:lvlText w:val="%3."/>
      <w:lvlJc w:val="left"/>
      <w:pPr>
        <w:tabs>
          <w:tab w:val="num" w:pos="1361"/>
        </w:tabs>
        <w:ind w:left="907" w:firstLine="0"/>
      </w:pPr>
      <w:rPr>
        <w:rFonts w:hint="default"/>
      </w:rPr>
    </w:lvl>
    <w:lvl w:ilvl="3" w:tplc="BE8EEA38">
      <w:start w:val="1"/>
      <w:numFmt w:val="lowerLetter"/>
      <w:lvlText w:val="%4)"/>
      <w:lvlJc w:val="left"/>
      <w:pPr>
        <w:tabs>
          <w:tab w:val="num" w:pos="1701"/>
        </w:tabs>
        <w:ind w:left="1361" w:firstLine="0"/>
      </w:pPr>
      <w:rPr>
        <w:rFonts w:hint="default"/>
      </w:rPr>
    </w:lvl>
    <w:lvl w:ilvl="4" w:tplc="F6AE2D36">
      <w:start w:val="1"/>
      <w:numFmt w:val="decimal"/>
      <w:lvlText w:val="(%5)"/>
      <w:lvlJc w:val="left"/>
      <w:pPr>
        <w:ind w:left="2880" w:firstLine="0"/>
      </w:pPr>
      <w:rPr>
        <w:rFonts w:hint="default"/>
      </w:rPr>
    </w:lvl>
    <w:lvl w:ilvl="5" w:tplc="D5222166">
      <w:start w:val="1"/>
      <w:numFmt w:val="lowerLetter"/>
      <w:lvlText w:val="(%6)"/>
      <w:lvlJc w:val="left"/>
      <w:pPr>
        <w:ind w:left="3600" w:firstLine="0"/>
      </w:pPr>
      <w:rPr>
        <w:rFonts w:hint="default"/>
      </w:rPr>
    </w:lvl>
    <w:lvl w:ilvl="6" w:tplc="888A77C6">
      <w:start w:val="1"/>
      <w:numFmt w:val="lowerRoman"/>
      <w:lvlText w:val="(%7)"/>
      <w:lvlJc w:val="left"/>
      <w:pPr>
        <w:ind w:left="4320" w:firstLine="0"/>
      </w:pPr>
      <w:rPr>
        <w:rFonts w:hint="default"/>
      </w:rPr>
    </w:lvl>
    <w:lvl w:ilvl="7" w:tplc="64708564">
      <w:start w:val="1"/>
      <w:numFmt w:val="lowerLetter"/>
      <w:lvlText w:val="(%8)"/>
      <w:lvlJc w:val="left"/>
      <w:pPr>
        <w:ind w:left="5040" w:firstLine="0"/>
      </w:pPr>
      <w:rPr>
        <w:rFonts w:hint="default"/>
      </w:rPr>
    </w:lvl>
    <w:lvl w:ilvl="8" w:tplc="B38CB54A">
      <w:start w:val="1"/>
      <w:numFmt w:val="lowerRoman"/>
      <w:lvlText w:val="(%9)"/>
      <w:lvlJc w:val="left"/>
      <w:pPr>
        <w:ind w:left="5760" w:firstLine="0"/>
      </w:pPr>
      <w:rPr>
        <w:rFonts w:hint="default"/>
      </w:rPr>
    </w:lvl>
  </w:abstractNum>
  <w:abstractNum w:abstractNumId="22" w15:restartNumberingAfterBreak="0">
    <w:nsid w:val="497F4459"/>
    <w:multiLevelType w:val="hybridMultilevel"/>
    <w:tmpl w:val="C568C03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0F14F5"/>
    <w:multiLevelType w:val="hybridMultilevel"/>
    <w:tmpl w:val="5A12B6E6"/>
    <w:lvl w:ilvl="0" w:tplc="7400B79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167291"/>
    <w:multiLevelType w:val="multilevel"/>
    <w:tmpl w:val="8CFC3FC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57649DC"/>
    <w:multiLevelType w:val="multilevel"/>
    <w:tmpl w:val="D92ABF9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56861DB4"/>
    <w:multiLevelType w:val="hybridMultilevel"/>
    <w:tmpl w:val="FBCC55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E2B5BFA"/>
    <w:multiLevelType w:val="hybridMultilevel"/>
    <w:tmpl w:val="8EEED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631695"/>
    <w:multiLevelType w:val="hybridMultilevel"/>
    <w:tmpl w:val="D52818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9F248F"/>
    <w:multiLevelType w:val="hybridMultilevel"/>
    <w:tmpl w:val="04050021"/>
    <w:lvl w:ilvl="0" w:tplc="48148022">
      <w:start w:val="1"/>
      <w:numFmt w:val="bullet"/>
      <w:lvlText w:val=""/>
      <w:lvlJc w:val="left"/>
      <w:pPr>
        <w:ind w:left="360" w:hanging="360"/>
      </w:pPr>
      <w:rPr>
        <w:rFonts w:ascii="Wingdings" w:hAnsi="Wingdings" w:hint="default"/>
      </w:rPr>
    </w:lvl>
    <w:lvl w:ilvl="1" w:tplc="1A1622AE">
      <w:start w:val="1"/>
      <w:numFmt w:val="bullet"/>
      <w:lvlText w:val=""/>
      <w:lvlJc w:val="left"/>
      <w:pPr>
        <w:ind w:left="720" w:hanging="360"/>
      </w:pPr>
      <w:rPr>
        <w:rFonts w:ascii="Wingdings" w:hAnsi="Wingdings" w:hint="default"/>
      </w:rPr>
    </w:lvl>
    <w:lvl w:ilvl="2" w:tplc="D9540DFC">
      <w:start w:val="1"/>
      <w:numFmt w:val="bullet"/>
      <w:lvlText w:val=""/>
      <w:lvlJc w:val="left"/>
      <w:pPr>
        <w:ind w:left="1080" w:hanging="360"/>
      </w:pPr>
      <w:rPr>
        <w:rFonts w:ascii="Wingdings" w:hAnsi="Wingdings" w:hint="default"/>
      </w:rPr>
    </w:lvl>
    <w:lvl w:ilvl="3" w:tplc="F72E558C">
      <w:start w:val="1"/>
      <w:numFmt w:val="bullet"/>
      <w:lvlText w:val=""/>
      <w:lvlJc w:val="left"/>
      <w:pPr>
        <w:ind w:left="1440" w:hanging="360"/>
      </w:pPr>
      <w:rPr>
        <w:rFonts w:ascii="Symbol" w:hAnsi="Symbol" w:hint="default"/>
      </w:rPr>
    </w:lvl>
    <w:lvl w:ilvl="4" w:tplc="765640C2">
      <w:start w:val="1"/>
      <w:numFmt w:val="bullet"/>
      <w:lvlText w:val=""/>
      <w:lvlJc w:val="left"/>
      <w:pPr>
        <w:ind w:left="1800" w:hanging="360"/>
      </w:pPr>
      <w:rPr>
        <w:rFonts w:ascii="Symbol" w:hAnsi="Symbol" w:hint="default"/>
      </w:rPr>
    </w:lvl>
    <w:lvl w:ilvl="5" w:tplc="CB96C054">
      <w:start w:val="1"/>
      <w:numFmt w:val="bullet"/>
      <w:lvlText w:val=""/>
      <w:lvlJc w:val="left"/>
      <w:pPr>
        <w:ind w:left="2160" w:hanging="360"/>
      </w:pPr>
      <w:rPr>
        <w:rFonts w:ascii="Wingdings" w:hAnsi="Wingdings" w:hint="default"/>
      </w:rPr>
    </w:lvl>
    <w:lvl w:ilvl="6" w:tplc="E782E99E">
      <w:start w:val="1"/>
      <w:numFmt w:val="bullet"/>
      <w:lvlText w:val=""/>
      <w:lvlJc w:val="left"/>
      <w:pPr>
        <w:ind w:left="2520" w:hanging="360"/>
      </w:pPr>
      <w:rPr>
        <w:rFonts w:ascii="Wingdings" w:hAnsi="Wingdings" w:hint="default"/>
      </w:rPr>
    </w:lvl>
    <w:lvl w:ilvl="7" w:tplc="06AC3470">
      <w:start w:val="1"/>
      <w:numFmt w:val="bullet"/>
      <w:lvlText w:val=""/>
      <w:lvlJc w:val="left"/>
      <w:pPr>
        <w:ind w:left="2880" w:hanging="360"/>
      </w:pPr>
      <w:rPr>
        <w:rFonts w:ascii="Symbol" w:hAnsi="Symbol" w:hint="default"/>
      </w:rPr>
    </w:lvl>
    <w:lvl w:ilvl="8" w:tplc="34A85D76">
      <w:start w:val="1"/>
      <w:numFmt w:val="bullet"/>
      <w:lvlText w:val=""/>
      <w:lvlJc w:val="left"/>
      <w:pPr>
        <w:ind w:left="3240" w:hanging="360"/>
      </w:pPr>
      <w:rPr>
        <w:rFonts w:ascii="Symbol" w:hAnsi="Symbol" w:hint="default"/>
      </w:rPr>
    </w:lvl>
  </w:abstractNum>
  <w:abstractNum w:abstractNumId="30" w15:restartNumberingAfterBreak="0">
    <w:nsid w:val="610C5558"/>
    <w:multiLevelType w:val="hybridMultilevel"/>
    <w:tmpl w:val="BD8400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D42460"/>
    <w:multiLevelType w:val="hybridMultilevel"/>
    <w:tmpl w:val="8CFC3FCC"/>
    <w:lvl w:ilvl="0" w:tplc="6A0477EE">
      <w:start w:val="1"/>
      <w:numFmt w:val="decimal"/>
      <w:lvlText w:val="%1)"/>
      <w:lvlJc w:val="left"/>
      <w:pPr>
        <w:ind w:left="360" w:hanging="360"/>
      </w:pPr>
    </w:lvl>
    <w:lvl w:ilvl="1" w:tplc="88F6B9D2">
      <w:start w:val="1"/>
      <w:numFmt w:val="lowerLetter"/>
      <w:lvlText w:val="%2)"/>
      <w:lvlJc w:val="left"/>
      <w:pPr>
        <w:ind w:left="720" w:hanging="360"/>
      </w:pPr>
    </w:lvl>
    <w:lvl w:ilvl="2" w:tplc="54603BDC">
      <w:start w:val="1"/>
      <w:numFmt w:val="bullet"/>
      <w:lvlText w:val=""/>
      <w:lvlJc w:val="left"/>
      <w:pPr>
        <w:ind w:left="1080" w:hanging="360"/>
      </w:pPr>
      <w:rPr>
        <w:rFonts w:ascii="Symbol" w:hAnsi="Symbol" w:hint="default"/>
      </w:rPr>
    </w:lvl>
    <w:lvl w:ilvl="3" w:tplc="D2A00420">
      <w:start w:val="1"/>
      <w:numFmt w:val="decimal"/>
      <w:lvlText w:val="(%4)"/>
      <w:lvlJc w:val="left"/>
      <w:pPr>
        <w:ind w:left="1440" w:hanging="360"/>
      </w:pPr>
    </w:lvl>
    <w:lvl w:ilvl="4" w:tplc="8F2E80A4">
      <w:start w:val="1"/>
      <w:numFmt w:val="lowerLetter"/>
      <w:lvlText w:val="(%5)"/>
      <w:lvlJc w:val="left"/>
      <w:pPr>
        <w:ind w:left="1800" w:hanging="360"/>
      </w:pPr>
    </w:lvl>
    <w:lvl w:ilvl="5" w:tplc="B2284BD2">
      <w:start w:val="1"/>
      <w:numFmt w:val="lowerRoman"/>
      <w:lvlText w:val="(%6)"/>
      <w:lvlJc w:val="left"/>
      <w:pPr>
        <w:ind w:left="2160" w:hanging="360"/>
      </w:pPr>
    </w:lvl>
    <w:lvl w:ilvl="6" w:tplc="0DB4353C">
      <w:start w:val="1"/>
      <w:numFmt w:val="decimal"/>
      <w:lvlText w:val="%7."/>
      <w:lvlJc w:val="left"/>
      <w:pPr>
        <w:ind w:left="2520" w:hanging="360"/>
      </w:pPr>
    </w:lvl>
    <w:lvl w:ilvl="7" w:tplc="BB761CBC">
      <w:start w:val="1"/>
      <w:numFmt w:val="lowerLetter"/>
      <w:lvlText w:val="%8."/>
      <w:lvlJc w:val="left"/>
      <w:pPr>
        <w:ind w:left="2880" w:hanging="360"/>
      </w:pPr>
    </w:lvl>
    <w:lvl w:ilvl="8" w:tplc="A45AAC54">
      <w:start w:val="1"/>
      <w:numFmt w:val="lowerRoman"/>
      <w:lvlText w:val="%9."/>
      <w:lvlJc w:val="left"/>
      <w:pPr>
        <w:ind w:left="3240" w:hanging="360"/>
      </w:pPr>
    </w:lvl>
  </w:abstractNum>
  <w:abstractNum w:abstractNumId="32" w15:restartNumberingAfterBreak="0">
    <w:nsid w:val="6C497107"/>
    <w:multiLevelType w:val="hybridMultilevel"/>
    <w:tmpl w:val="EB7A4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EAE5475"/>
    <w:multiLevelType w:val="hybridMultilevel"/>
    <w:tmpl w:val="C0806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82750EB"/>
    <w:multiLevelType w:val="hybridMultilevel"/>
    <w:tmpl w:val="0D6AF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99174FF"/>
    <w:multiLevelType w:val="hybridMultilevel"/>
    <w:tmpl w:val="A3B60D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4B5D5C"/>
    <w:multiLevelType w:val="hybridMultilevel"/>
    <w:tmpl w:val="1B747722"/>
    <w:lvl w:ilvl="0" w:tplc="7400B79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AF7268C"/>
    <w:multiLevelType w:val="hybridMultilevel"/>
    <w:tmpl w:val="09D0B6A0"/>
    <w:lvl w:ilvl="0" w:tplc="3BBCE9B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6D0E59"/>
    <w:multiLevelType w:val="hybridMultilevel"/>
    <w:tmpl w:val="5720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5"/>
  </w:num>
  <w:num w:numId="4">
    <w:abstractNumId w:val="34"/>
  </w:num>
  <w:num w:numId="5">
    <w:abstractNumId w:val="33"/>
  </w:num>
  <w:num w:numId="6">
    <w:abstractNumId w:val="30"/>
  </w:num>
  <w:num w:numId="7">
    <w:abstractNumId w:val="21"/>
  </w:num>
  <w:num w:numId="8">
    <w:abstractNumId w:val="4"/>
  </w:num>
  <w:num w:numId="9">
    <w:abstractNumId w:val="0"/>
  </w:num>
  <w:num w:numId="10">
    <w:abstractNumId w:val="36"/>
  </w:num>
  <w:num w:numId="11">
    <w:abstractNumId w:val="19"/>
  </w:num>
  <w:num w:numId="12">
    <w:abstractNumId w:val="11"/>
  </w:num>
  <w:num w:numId="13">
    <w:abstractNumId w:val="29"/>
  </w:num>
  <w:num w:numId="14">
    <w:abstractNumId w:val="18"/>
  </w:num>
  <w:num w:numId="15">
    <w:abstractNumId w:val="31"/>
  </w:num>
  <w:num w:numId="16">
    <w:abstractNumId w:val="24"/>
  </w:num>
  <w:num w:numId="17">
    <w:abstractNumId w:val="32"/>
  </w:num>
  <w:num w:numId="18">
    <w:abstractNumId w:val="38"/>
  </w:num>
  <w:num w:numId="19">
    <w:abstractNumId w:val="6"/>
  </w:num>
  <w:num w:numId="20">
    <w:abstractNumId w:val="1"/>
  </w:num>
  <w:num w:numId="21">
    <w:abstractNumId w:val="14"/>
  </w:num>
  <w:num w:numId="22">
    <w:abstractNumId w:val="37"/>
  </w:num>
  <w:num w:numId="23">
    <w:abstractNumId w:val="17"/>
  </w:num>
  <w:num w:numId="24">
    <w:abstractNumId w:val="9"/>
  </w:num>
  <w:num w:numId="25">
    <w:abstractNumId w:val="7"/>
  </w:num>
  <w:num w:numId="26">
    <w:abstractNumId w:val="2"/>
  </w:num>
  <w:num w:numId="27">
    <w:abstractNumId w:val="23"/>
  </w:num>
  <w:num w:numId="28">
    <w:abstractNumId w:val="27"/>
  </w:num>
  <w:num w:numId="29">
    <w:abstractNumId w:val="16"/>
  </w:num>
  <w:num w:numId="30">
    <w:abstractNumId w:val="26"/>
  </w:num>
  <w:num w:numId="31">
    <w:abstractNumId w:val="35"/>
  </w:num>
  <w:num w:numId="32">
    <w:abstractNumId w:val="12"/>
  </w:num>
  <w:num w:numId="33">
    <w:abstractNumId w:val="5"/>
  </w:num>
  <w:num w:numId="34">
    <w:abstractNumId w:val="28"/>
  </w:num>
  <w:num w:numId="35">
    <w:abstractNumId w:val="22"/>
  </w:num>
  <w:num w:numId="36">
    <w:abstractNumId w:val="13"/>
  </w:num>
  <w:num w:numId="37">
    <w:abstractNumId w:val="10"/>
  </w:num>
  <w:num w:numId="38">
    <w:abstractNumId w:val="3"/>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ED4"/>
    <w:rsid w:val="00017604"/>
    <w:rsid w:val="00023B4C"/>
    <w:rsid w:val="00023C6D"/>
    <w:rsid w:val="00027E7C"/>
    <w:rsid w:val="00035A3F"/>
    <w:rsid w:val="0004256E"/>
    <w:rsid w:val="00043675"/>
    <w:rsid w:val="00045CEC"/>
    <w:rsid w:val="0005010C"/>
    <w:rsid w:val="000573F5"/>
    <w:rsid w:val="00064EFC"/>
    <w:rsid w:val="000903CB"/>
    <w:rsid w:val="00096F45"/>
    <w:rsid w:val="000A1ED5"/>
    <w:rsid w:val="000A264A"/>
    <w:rsid w:val="000A3824"/>
    <w:rsid w:val="000B7754"/>
    <w:rsid w:val="000C44D4"/>
    <w:rsid w:val="000C610C"/>
    <w:rsid w:val="000D372D"/>
    <w:rsid w:val="000D6236"/>
    <w:rsid w:val="000D65E1"/>
    <w:rsid w:val="0010451C"/>
    <w:rsid w:val="00135799"/>
    <w:rsid w:val="00154785"/>
    <w:rsid w:val="001726AB"/>
    <w:rsid w:val="00187F19"/>
    <w:rsid w:val="0019110C"/>
    <w:rsid w:val="001A115C"/>
    <w:rsid w:val="001B42AD"/>
    <w:rsid w:val="001B654B"/>
    <w:rsid w:val="001B67E3"/>
    <w:rsid w:val="001D23DC"/>
    <w:rsid w:val="001D2FF8"/>
    <w:rsid w:val="00201EF0"/>
    <w:rsid w:val="002257DE"/>
    <w:rsid w:val="00234860"/>
    <w:rsid w:val="00253E4D"/>
    <w:rsid w:val="00274AE7"/>
    <w:rsid w:val="00277EB2"/>
    <w:rsid w:val="002841A4"/>
    <w:rsid w:val="00284C99"/>
    <w:rsid w:val="0029242B"/>
    <w:rsid w:val="00292FBF"/>
    <w:rsid w:val="002A5CC1"/>
    <w:rsid w:val="002C45E1"/>
    <w:rsid w:val="002D0850"/>
    <w:rsid w:val="002D1C80"/>
    <w:rsid w:val="002D2D99"/>
    <w:rsid w:val="002D35A4"/>
    <w:rsid w:val="002D4036"/>
    <w:rsid w:val="002D5157"/>
    <w:rsid w:val="002D642C"/>
    <w:rsid w:val="002D6ABA"/>
    <w:rsid w:val="00310BCB"/>
    <w:rsid w:val="00312F7A"/>
    <w:rsid w:val="003319AB"/>
    <w:rsid w:val="0034605D"/>
    <w:rsid w:val="00347C61"/>
    <w:rsid w:val="00356009"/>
    <w:rsid w:val="00373F22"/>
    <w:rsid w:val="003767A8"/>
    <w:rsid w:val="003949A4"/>
    <w:rsid w:val="00396910"/>
    <w:rsid w:val="003A1A8E"/>
    <w:rsid w:val="003A32BA"/>
    <w:rsid w:val="003C2096"/>
    <w:rsid w:val="003D34AD"/>
    <w:rsid w:val="003D7152"/>
    <w:rsid w:val="003E2966"/>
    <w:rsid w:val="003E2AE2"/>
    <w:rsid w:val="003F1ABB"/>
    <w:rsid w:val="00422D8F"/>
    <w:rsid w:val="004320C2"/>
    <w:rsid w:val="004509D5"/>
    <w:rsid w:val="00472CEB"/>
    <w:rsid w:val="00487F85"/>
    <w:rsid w:val="004A5A48"/>
    <w:rsid w:val="004C036B"/>
    <w:rsid w:val="004C273A"/>
    <w:rsid w:val="004C7EF0"/>
    <w:rsid w:val="004D1C11"/>
    <w:rsid w:val="004D37B5"/>
    <w:rsid w:val="004D393D"/>
    <w:rsid w:val="004D4058"/>
    <w:rsid w:val="004F11B0"/>
    <w:rsid w:val="00501DBA"/>
    <w:rsid w:val="00527E03"/>
    <w:rsid w:val="00557E52"/>
    <w:rsid w:val="00573370"/>
    <w:rsid w:val="00585DC5"/>
    <w:rsid w:val="005A45E8"/>
    <w:rsid w:val="005B4ADD"/>
    <w:rsid w:val="005C35C6"/>
    <w:rsid w:val="005D11AB"/>
    <w:rsid w:val="005D4C68"/>
    <w:rsid w:val="005D55CE"/>
    <w:rsid w:val="00614A4C"/>
    <w:rsid w:val="006247FA"/>
    <w:rsid w:val="00624D73"/>
    <w:rsid w:val="00630EA6"/>
    <w:rsid w:val="00631FBB"/>
    <w:rsid w:val="00634DFC"/>
    <w:rsid w:val="00634E3C"/>
    <w:rsid w:val="00651F81"/>
    <w:rsid w:val="0065536C"/>
    <w:rsid w:val="00660E04"/>
    <w:rsid w:val="0067695F"/>
    <w:rsid w:val="00676AE3"/>
    <w:rsid w:val="006804AA"/>
    <w:rsid w:val="0069017C"/>
    <w:rsid w:val="0069018B"/>
    <w:rsid w:val="0069293D"/>
    <w:rsid w:val="00694719"/>
    <w:rsid w:val="006A5502"/>
    <w:rsid w:val="006B4C1A"/>
    <w:rsid w:val="006C4BC7"/>
    <w:rsid w:val="006C7BAB"/>
    <w:rsid w:val="006E1EBB"/>
    <w:rsid w:val="0070443D"/>
    <w:rsid w:val="0072015E"/>
    <w:rsid w:val="007472DF"/>
    <w:rsid w:val="00764BDD"/>
    <w:rsid w:val="0078407D"/>
    <w:rsid w:val="00786AFA"/>
    <w:rsid w:val="0078761B"/>
    <w:rsid w:val="00795D21"/>
    <w:rsid w:val="007A30B4"/>
    <w:rsid w:val="007A419D"/>
    <w:rsid w:val="007A7678"/>
    <w:rsid w:val="007B3583"/>
    <w:rsid w:val="007C3F08"/>
    <w:rsid w:val="007C56CB"/>
    <w:rsid w:val="007C6EC7"/>
    <w:rsid w:val="007C71C2"/>
    <w:rsid w:val="007D45BB"/>
    <w:rsid w:val="007E32AC"/>
    <w:rsid w:val="00803587"/>
    <w:rsid w:val="00833ED4"/>
    <w:rsid w:val="00836F8D"/>
    <w:rsid w:val="008417AF"/>
    <w:rsid w:val="00856C92"/>
    <w:rsid w:val="0087328A"/>
    <w:rsid w:val="00881B6C"/>
    <w:rsid w:val="00890B26"/>
    <w:rsid w:val="008928A8"/>
    <w:rsid w:val="00893A0A"/>
    <w:rsid w:val="00893B20"/>
    <w:rsid w:val="008A26CF"/>
    <w:rsid w:val="008A3AAD"/>
    <w:rsid w:val="008B1590"/>
    <w:rsid w:val="008B1BDA"/>
    <w:rsid w:val="008C3195"/>
    <w:rsid w:val="008C5BFB"/>
    <w:rsid w:val="008C7AE4"/>
    <w:rsid w:val="008D0CCF"/>
    <w:rsid w:val="008D67E0"/>
    <w:rsid w:val="008E040F"/>
    <w:rsid w:val="008E4FF1"/>
    <w:rsid w:val="008E56CC"/>
    <w:rsid w:val="008E6402"/>
    <w:rsid w:val="008F2222"/>
    <w:rsid w:val="00901DA1"/>
    <w:rsid w:val="009029FD"/>
    <w:rsid w:val="00903716"/>
    <w:rsid w:val="0091150E"/>
    <w:rsid w:val="00917BB3"/>
    <w:rsid w:val="00936BDF"/>
    <w:rsid w:val="009501F7"/>
    <w:rsid w:val="00952C31"/>
    <w:rsid w:val="00957628"/>
    <w:rsid w:val="0097446A"/>
    <w:rsid w:val="00977669"/>
    <w:rsid w:val="00990AFB"/>
    <w:rsid w:val="0099197F"/>
    <w:rsid w:val="009A673D"/>
    <w:rsid w:val="009B5B4D"/>
    <w:rsid w:val="009C0B00"/>
    <w:rsid w:val="009F5431"/>
    <w:rsid w:val="00A1341B"/>
    <w:rsid w:val="00A16644"/>
    <w:rsid w:val="00A234C6"/>
    <w:rsid w:val="00A355F7"/>
    <w:rsid w:val="00A42A13"/>
    <w:rsid w:val="00A556BE"/>
    <w:rsid w:val="00A577A3"/>
    <w:rsid w:val="00A71229"/>
    <w:rsid w:val="00A73767"/>
    <w:rsid w:val="00A94981"/>
    <w:rsid w:val="00A955AB"/>
    <w:rsid w:val="00AA3BEF"/>
    <w:rsid w:val="00AA6106"/>
    <w:rsid w:val="00AC10B0"/>
    <w:rsid w:val="00AD718F"/>
    <w:rsid w:val="00AE2198"/>
    <w:rsid w:val="00AE296B"/>
    <w:rsid w:val="00AE6A72"/>
    <w:rsid w:val="00B03F7C"/>
    <w:rsid w:val="00B32C06"/>
    <w:rsid w:val="00B34C3C"/>
    <w:rsid w:val="00B60B16"/>
    <w:rsid w:val="00B61072"/>
    <w:rsid w:val="00B6318A"/>
    <w:rsid w:val="00B65167"/>
    <w:rsid w:val="00B66B44"/>
    <w:rsid w:val="00B67856"/>
    <w:rsid w:val="00B67C3C"/>
    <w:rsid w:val="00B742FF"/>
    <w:rsid w:val="00B75EDA"/>
    <w:rsid w:val="00B830E6"/>
    <w:rsid w:val="00B92321"/>
    <w:rsid w:val="00BB3F19"/>
    <w:rsid w:val="00BB522F"/>
    <w:rsid w:val="00BB7887"/>
    <w:rsid w:val="00BC0D2B"/>
    <w:rsid w:val="00BD111C"/>
    <w:rsid w:val="00BD34AF"/>
    <w:rsid w:val="00BE2BB8"/>
    <w:rsid w:val="00C07E32"/>
    <w:rsid w:val="00C11B15"/>
    <w:rsid w:val="00C15000"/>
    <w:rsid w:val="00C30D79"/>
    <w:rsid w:val="00C45E3E"/>
    <w:rsid w:val="00C475C7"/>
    <w:rsid w:val="00C623EC"/>
    <w:rsid w:val="00C71C9C"/>
    <w:rsid w:val="00C84A24"/>
    <w:rsid w:val="00C90F45"/>
    <w:rsid w:val="00C932F6"/>
    <w:rsid w:val="00C95512"/>
    <w:rsid w:val="00CA56B2"/>
    <w:rsid w:val="00CB4FD9"/>
    <w:rsid w:val="00CC3C7D"/>
    <w:rsid w:val="00CC6F74"/>
    <w:rsid w:val="00CC751E"/>
    <w:rsid w:val="00CD5564"/>
    <w:rsid w:val="00CE1CA1"/>
    <w:rsid w:val="00D02EE3"/>
    <w:rsid w:val="00D03DCB"/>
    <w:rsid w:val="00D14807"/>
    <w:rsid w:val="00D1492D"/>
    <w:rsid w:val="00D20130"/>
    <w:rsid w:val="00D62303"/>
    <w:rsid w:val="00D66422"/>
    <w:rsid w:val="00D67EFE"/>
    <w:rsid w:val="00D7324D"/>
    <w:rsid w:val="00D77BFB"/>
    <w:rsid w:val="00D80D6B"/>
    <w:rsid w:val="00D86C45"/>
    <w:rsid w:val="00D93A1E"/>
    <w:rsid w:val="00D96D47"/>
    <w:rsid w:val="00DA148E"/>
    <w:rsid w:val="00DA4F82"/>
    <w:rsid w:val="00DC1A01"/>
    <w:rsid w:val="00DD1057"/>
    <w:rsid w:val="00DD1134"/>
    <w:rsid w:val="00DD1F47"/>
    <w:rsid w:val="00DD6104"/>
    <w:rsid w:val="00DD745D"/>
    <w:rsid w:val="00E0192B"/>
    <w:rsid w:val="00E35856"/>
    <w:rsid w:val="00E3765D"/>
    <w:rsid w:val="00E37F31"/>
    <w:rsid w:val="00E54B68"/>
    <w:rsid w:val="00E65291"/>
    <w:rsid w:val="00E6629E"/>
    <w:rsid w:val="00E84251"/>
    <w:rsid w:val="00EA0BCB"/>
    <w:rsid w:val="00EA685E"/>
    <w:rsid w:val="00EB332B"/>
    <w:rsid w:val="00EB3BEC"/>
    <w:rsid w:val="00ED5819"/>
    <w:rsid w:val="00EF21F5"/>
    <w:rsid w:val="00EF513C"/>
    <w:rsid w:val="00F00F96"/>
    <w:rsid w:val="00F03877"/>
    <w:rsid w:val="00F04F15"/>
    <w:rsid w:val="00F173A6"/>
    <w:rsid w:val="00F22805"/>
    <w:rsid w:val="00F23C41"/>
    <w:rsid w:val="00F55569"/>
    <w:rsid w:val="00F60489"/>
    <w:rsid w:val="00F70748"/>
    <w:rsid w:val="00F74029"/>
    <w:rsid w:val="00F75AA5"/>
    <w:rsid w:val="00F7605D"/>
    <w:rsid w:val="00F871FF"/>
    <w:rsid w:val="00F97E40"/>
    <w:rsid w:val="00FB5D46"/>
    <w:rsid w:val="00FB6AEF"/>
    <w:rsid w:val="00FB6CA0"/>
    <w:rsid w:val="226CC64C"/>
    <w:rsid w:val="61D865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3AA26"/>
  <w15:chartTrackingRefBased/>
  <w15:docId w15:val="{A0543FAC-CA9D-4E87-8261-0C4497BD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C0D2B"/>
    <w:pPr>
      <w:spacing w:after="120" w:line="276" w:lineRule="auto"/>
      <w:jc w:val="both"/>
    </w:pPr>
  </w:style>
  <w:style w:type="paragraph" w:styleId="Nadpis1">
    <w:name w:val="heading 1"/>
    <w:basedOn w:val="Normln"/>
    <w:next w:val="Normln"/>
    <w:link w:val="Nadpis1Char"/>
    <w:uiPriority w:val="9"/>
    <w:qFormat/>
    <w:rsid w:val="003A32BA"/>
    <w:pPr>
      <w:keepNext/>
      <w:keepLines/>
      <w:numPr>
        <w:numId w:val="3"/>
      </w:numPr>
      <w:suppressAutoHyphens/>
      <w:spacing w:before="360"/>
      <w:ind w:left="431" w:hanging="431"/>
      <w:outlineLvl w:val="0"/>
    </w:pPr>
    <w:rPr>
      <w:rFonts w:asciiTheme="majorHAnsi" w:eastAsiaTheme="majorEastAsia" w:hAnsiTheme="majorHAnsi" w:cstheme="majorBidi"/>
      <w:b/>
      <w:sz w:val="36"/>
      <w:szCs w:val="32"/>
    </w:rPr>
  </w:style>
  <w:style w:type="paragraph" w:styleId="Nadpis2">
    <w:name w:val="heading 2"/>
    <w:basedOn w:val="Normln"/>
    <w:next w:val="Normln"/>
    <w:link w:val="Nadpis2Char"/>
    <w:unhideWhenUsed/>
    <w:qFormat/>
    <w:rsid w:val="00833ED4"/>
    <w:pPr>
      <w:keepNext/>
      <w:keepLines/>
      <w:numPr>
        <w:ilvl w:val="1"/>
        <w:numId w:val="3"/>
      </w:numPr>
      <w:suppressAutoHyphens/>
      <w:spacing w:before="360"/>
      <w:outlineLvl w:val="1"/>
    </w:pPr>
    <w:rPr>
      <w:rFonts w:asciiTheme="majorHAnsi" w:eastAsiaTheme="majorEastAsia" w:hAnsiTheme="majorHAnsi" w:cstheme="majorBidi"/>
      <w:b/>
      <w:sz w:val="30"/>
      <w:szCs w:val="26"/>
    </w:rPr>
  </w:style>
  <w:style w:type="paragraph" w:styleId="Nadpis3">
    <w:name w:val="heading 3"/>
    <w:basedOn w:val="Normln"/>
    <w:next w:val="Normln"/>
    <w:link w:val="Nadpis3Char"/>
    <w:unhideWhenUsed/>
    <w:qFormat/>
    <w:rsid w:val="00833ED4"/>
    <w:pPr>
      <w:keepNext/>
      <w:keepLines/>
      <w:numPr>
        <w:ilvl w:val="2"/>
        <w:numId w:val="3"/>
      </w:numPr>
      <w:suppressAutoHyphens/>
      <w:spacing w:before="360"/>
      <w:outlineLvl w:val="2"/>
    </w:pPr>
    <w:rPr>
      <w:rFonts w:asciiTheme="majorHAnsi" w:eastAsiaTheme="majorEastAsia" w:hAnsiTheme="majorHAnsi" w:cstheme="majorBidi"/>
      <w:b/>
      <w:sz w:val="24"/>
      <w:szCs w:val="24"/>
    </w:rPr>
  </w:style>
  <w:style w:type="paragraph" w:styleId="Nadpis4">
    <w:name w:val="heading 4"/>
    <w:basedOn w:val="Normln"/>
    <w:next w:val="Normln"/>
    <w:link w:val="Nadpis4Char"/>
    <w:unhideWhenUsed/>
    <w:rsid w:val="003A32BA"/>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nhideWhenUsed/>
    <w:rsid w:val="003A32BA"/>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nhideWhenUsed/>
    <w:rsid w:val="003A32BA"/>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rsid w:val="003A32BA"/>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rsid w:val="003A32B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rsid w:val="003A32B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32BA"/>
    <w:rPr>
      <w:rFonts w:asciiTheme="majorHAnsi" w:eastAsiaTheme="majorEastAsia" w:hAnsiTheme="majorHAnsi" w:cstheme="majorBidi"/>
      <w:b/>
      <w:sz w:val="36"/>
      <w:szCs w:val="32"/>
    </w:rPr>
  </w:style>
  <w:style w:type="character" w:customStyle="1" w:styleId="Nadpis2Char">
    <w:name w:val="Nadpis 2 Char"/>
    <w:basedOn w:val="Standardnpsmoodstavce"/>
    <w:link w:val="Nadpis2"/>
    <w:uiPriority w:val="9"/>
    <w:rsid w:val="00833ED4"/>
    <w:rPr>
      <w:rFonts w:asciiTheme="majorHAnsi" w:eastAsiaTheme="majorEastAsia" w:hAnsiTheme="majorHAnsi" w:cstheme="majorBidi"/>
      <w:b/>
      <w:sz w:val="30"/>
      <w:szCs w:val="26"/>
    </w:rPr>
  </w:style>
  <w:style w:type="character" w:customStyle="1" w:styleId="Nadpis3Char">
    <w:name w:val="Nadpis 3 Char"/>
    <w:basedOn w:val="Standardnpsmoodstavce"/>
    <w:link w:val="Nadpis3"/>
    <w:uiPriority w:val="9"/>
    <w:rsid w:val="00833ED4"/>
    <w:rPr>
      <w:rFonts w:asciiTheme="majorHAnsi" w:eastAsiaTheme="majorEastAsia" w:hAnsiTheme="majorHAnsi" w:cstheme="majorBidi"/>
      <w:b/>
      <w:sz w:val="24"/>
      <w:szCs w:val="24"/>
    </w:rPr>
  </w:style>
  <w:style w:type="paragraph" w:styleId="Titulek">
    <w:name w:val="caption"/>
    <w:basedOn w:val="Normln"/>
    <w:next w:val="Normln"/>
    <w:unhideWhenUsed/>
    <w:qFormat/>
    <w:rsid w:val="00803587"/>
    <w:pPr>
      <w:spacing w:after="0"/>
      <w:jc w:val="center"/>
    </w:pPr>
    <w:rPr>
      <w:b/>
      <w:iCs/>
      <w:sz w:val="20"/>
      <w:szCs w:val="18"/>
    </w:rPr>
  </w:style>
  <w:style w:type="paragraph" w:styleId="Nzev">
    <w:name w:val="Title"/>
    <w:basedOn w:val="Normln"/>
    <w:next w:val="Normln"/>
    <w:link w:val="NzevChar"/>
    <w:uiPriority w:val="10"/>
    <w:qFormat/>
    <w:rsid w:val="00BC0D2B"/>
    <w:pPr>
      <w:spacing w:before="360"/>
      <w:contextualSpacing/>
      <w:jc w:val="left"/>
    </w:pPr>
    <w:rPr>
      <w:rFonts w:asciiTheme="majorHAnsi" w:eastAsiaTheme="majorEastAsia" w:hAnsiTheme="majorHAnsi" w:cstheme="majorBidi"/>
      <w:b/>
      <w:spacing w:val="-10"/>
      <w:kern w:val="28"/>
      <w:sz w:val="36"/>
      <w:szCs w:val="56"/>
    </w:rPr>
  </w:style>
  <w:style w:type="character" w:customStyle="1" w:styleId="NzevChar">
    <w:name w:val="Název Char"/>
    <w:basedOn w:val="Standardnpsmoodstavce"/>
    <w:link w:val="Nzev"/>
    <w:uiPriority w:val="10"/>
    <w:rsid w:val="00BC0D2B"/>
    <w:rPr>
      <w:rFonts w:asciiTheme="majorHAnsi" w:eastAsiaTheme="majorEastAsia" w:hAnsiTheme="majorHAnsi" w:cstheme="majorBidi"/>
      <w:b/>
      <w:spacing w:val="-10"/>
      <w:kern w:val="28"/>
      <w:sz w:val="36"/>
      <w:szCs w:val="56"/>
    </w:rPr>
  </w:style>
  <w:style w:type="paragraph" w:customStyle="1" w:styleId="Seznamliteratury">
    <w:name w:val="Seznam  literatury"/>
    <w:basedOn w:val="Normln"/>
    <w:link w:val="SeznamliteraturyChar"/>
    <w:qFormat/>
    <w:rsid w:val="006E1EBB"/>
    <w:pPr>
      <w:ind w:left="357" w:hanging="357"/>
      <w:jc w:val="left"/>
    </w:pPr>
  </w:style>
  <w:style w:type="paragraph" w:customStyle="1" w:styleId="Zdroj">
    <w:name w:val="Zdroj"/>
    <w:basedOn w:val="Normln"/>
    <w:next w:val="Normln"/>
    <w:link w:val="ZdrojChar"/>
    <w:qFormat/>
    <w:rsid w:val="003A32BA"/>
    <w:pPr>
      <w:jc w:val="center"/>
    </w:pPr>
    <w:rPr>
      <w:i/>
      <w:sz w:val="20"/>
    </w:rPr>
  </w:style>
  <w:style w:type="character" w:customStyle="1" w:styleId="SeznamliteraturyChar">
    <w:name w:val="Seznam  literatury Char"/>
    <w:basedOn w:val="Standardnpsmoodstavce"/>
    <w:link w:val="Seznamliteratury"/>
    <w:rsid w:val="006E1EBB"/>
  </w:style>
  <w:style w:type="paragraph" w:styleId="Odstavecseseznamem">
    <w:name w:val="List Paragraph"/>
    <w:basedOn w:val="Normln"/>
    <w:uiPriority w:val="34"/>
    <w:rsid w:val="003A32BA"/>
    <w:pPr>
      <w:ind w:left="720"/>
      <w:contextualSpacing/>
    </w:pPr>
  </w:style>
  <w:style w:type="character" w:customStyle="1" w:styleId="ZdrojChar">
    <w:name w:val="Zdroj Char"/>
    <w:basedOn w:val="Standardnpsmoodstavce"/>
    <w:link w:val="Zdroj"/>
    <w:rsid w:val="003A32BA"/>
    <w:rPr>
      <w:i/>
      <w:sz w:val="20"/>
    </w:rPr>
  </w:style>
  <w:style w:type="character" w:customStyle="1" w:styleId="Nadpis4Char">
    <w:name w:val="Nadpis 4 Char"/>
    <w:basedOn w:val="Standardnpsmoodstavce"/>
    <w:link w:val="Nadpis4"/>
    <w:uiPriority w:val="9"/>
    <w:semiHidden/>
    <w:rsid w:val="003A32B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3A32B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3A32B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3A32B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3A32B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A32BA"/>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uiPriority w:val="99"/>
    <w:semiHidden/>
    <w:unhideWhenUsed/>
    <w:rsid w:val="000B7754"/>
    <w:rPr>
      <w:sz w:val="16"/>
      <w:szCs w:val="16"/>
    </w:rPr>
  </w:style>
  <w:style w:type="paragraph" w:styleId="Textkomente">
    <w:name w:val="annotation text"/>
    <w:basedOn w:val="Normln"/>
    <w:link w:val="TextkomenteChar"/>
    <w:uiPriority w:val="99"/>
    <w:semiHidden/>
    <w:unhideWhenUsed/>
    <w:rsid w:val="000B7754"/>
    <w:pPr>
      <w:spacing w:line="240" w:lineRule="auto"/>
    </w:pPr>
    <w:rPr>
      <w:sz w:val="20"/>
      <w:szCs w:val="20"/>
    </w:rPr>
  </w:style>
  <w:style w:type="character" w:customStyle="1" w:styleId="TextkomenteChar">
    <w:name w:val="Text komentáře Char"/>
    <w:basedOn w:val="Standardnpsmoodstavce"/>
    <w:link w:val="Textkomente"/>
    <w:uiPriority w:val="99"/>
    <w:semiHidden/>
    <w:rsid w:val="000B7754"/>
    <w:rPr>
      <w:sz w:val="20"/>
      <w:szCs w:val="20"/>
    </w:rPr>
  </w:style>
  <w:style w:type="paragraph" w:styleId="Pedmtkomente">
    <w:name w:val="annotation subject"/>
    <w:basedOn w:val="Textkomente"/>
    <w:next w:val="Textkomente"/>
    <w:link w:val="PedmtkomenteChar"/>
    <w:uiPriority w:val="99"/>
    <w:semiHidden/>
    <w:unhideWhenUsed/>
    <w:rsid w:val="000B7754"/>
    <w:rPr>
      <w:b/>
      <w:bCs/>
    </w:rPr>
  </w:style>
  <w:style w:type="character" w:customStyle="1" w:styleId="PedmtkomenteChar">
    <w:name w:val="Předmět komentáře Char"/>
    <w:basedOn w:val="TextkomenteChar"/>
    <w:link w:val="Pedmtkomente"/>
    <w:uiPriority w:val="99"/>
    <w:semiHidden/>
    <w:rsid w:val="000B7754"/>
    <w:rPr>
      <w:b/>
      <w:bCs/>
      <w:sz w:val="20"/>
      <w:szCs w:val="20"/>
    </w:rPr>
  </w:style>
  <w:style w:type="paragraph" w:styleId="Textbubliny">
    <w:name w:val="Balloon Text"/>
    <w:basedOn w:val="Normln"/>
    <w:link w:val="TextbublinyChar"/>
    <w:uiPriority w:val="99"/>
    <w:semiHidden/>
    <w:unhideWhenUsed/>
    <w:rsid w:val="000B775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7754"/>
    <w:rPr>
      <w:rFonts w:ascii="Segoe UI" w:hAnsi="Segoe UI" w:cs="Segoe UI"/>
      <w:sz w:val="18"/>
      <w:szCs w:val="18"/>
    </w:rPr>
  </w:style>
  <w:style w:type="table" w:styleId="Mkatabulky">
    <w:name w:val="Table Grid"/>
    <w:basedOn w:val="Normlntabulka"/>
    <w:uiPriority w:val="59"/>
    <w:rsid w:val="003E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Normln"/>
    <w:link w:val="TabulkaChar"/>
    <w:qFormat/>
    <w:rsid w:val="00585DC5"/>
    <w:pPr>
      <w:spacing w:after="0" w:line="240" w:lineRule="auto"/>
      <w:jc w:val="left"/>
    </w:pPr>
    <w:rPr>
      <w:sz w:val="20"/>
      <w:szCs w:val="20"/>
    </w:rPr>
  </w:style>
  <w:style w:type="paragraph" w:styleId="Textpoznpodarou">
    <w:name w:val="footnote text"/>
    <w:basedOn w:val="Normln"/>
    <w:link w:val="TextpoznpodarouChar"/>
    <w:uiPriority w:val="99"/>
    <w:semiHidden/>
    <w:unhideWhenUsed/>
    <w:rsid w:val="002D35A4"/>
    <w:pPr>
      <w:spacing w:after="0" w:line="240" w:lineRule="auto"/>
    </w:pPr>
    <w:rPr>
      <w:sz w:val="20"/>
      <w:szCs w:val="20"/>
    </w:rPr>
  </w:style>
  <w:style w:type="character" w:customStyle="1" w:styleId="TabulkaChar">
    <w:name w:val="Tabulka Char"/>
    <w:basedOn w:val="Standardnpsmoodstavce"/>
    <w:link w:val="Tabulka"/>
    <w:rsid w:val="00585DC5"/>
    <w:rPr>
      <w:sz w:val="20"/>
      <w:szCs w:val="20"/>
    </w:rPr>
  </w:style>
  <w:style w:type="character" w:customStyle="1" w:styleId="TextpoznpodarouChar">
    <w:name w:val="Text pozn. pod čarou Char"/>
    <w:basedOn w:val="Standardnpsmoodstavce"/>
    <w:link w:val="Textpoznpodarou"/>
    <w:uiPriority w:val="99"/>
    <w:semiHidden/>
    <w:rsid w:val="002D35A4"/>
    <w:rPr>
      <w:sz w:val="20"/>
      <w:szCs w:val="20"/>
    </w:rPr>
  </w:style>
  <w:style w:type="character" w:styleId="Znakapoznpodarou">
    <w:name w:val="footnote reference"/>
    <w:basedOn w:val="Standardnpsmoodstavce"/>
    <w:uiPriority w:val="99"/>
    <w:semiHidden/>
    <w:unhideWhenUsed/>
    <w:rsid w:val="002D35A4"/>
    <w:rPr>
      <w:vertAlign w:val="superscript"/>
    </w:rPr>
  </w:style>
  <w:style w:type="character" w:styleId="Zstupntext">
    <w:name w:val="Placeholder Text"/>
    <w:basedOn w:val="Standardnpsmoodstavce"/>
    <w:uiPriority w:val="99"/>
    <w:semiHidden/>
    <w:rsid w:val="0029242B"/>
    <w:rPr>
      <w:color w:val="808080"/>
    </w:rPr>
  </w:style>
  <w:style w:type="paragraph" w:styleId="Seznamobrzk">
    <w:name w:val="table of figures"/>
    <w:basedOn w:val="Normln"/>
    <w:next w:val="Normln"/>
    <w:uiPriority w:val="99"/>
    <w:unhideWhenUsed/>
    <w:rsid w:val="00F70748"/>
    <w:pPr>
      <w:spacing w:after="0"/>
    </w:pPr>
  </w:style>
  <w:style w:type="character" w:styleId="Hypertextovodkaz">
    <w:name w:val="Hyperlink"/>
    <w:basedOn w:val="Standardnpsmoodstavce"/>
    <w:uiPriority w:val="99"/>
    <w:unhideWhenUsed/>
    <w:rsid w:val="00F70748"/>
    <w:rPr>
      <w:color w:val="0563C1" w:themeColor="hyperlink"/>
      <w:u w:val="single"/>
    </w:rPr>
  </w:style>
  <w:style w:type="paragraph" w:styleId="Nadpisobsahu">
    <w:name w:val="TOC Heading"/>
    <w:basedOn w:val="Nadpis1"/>
    <w:next w:val="Normln"/>
    <w:uiPriority w:val="39"/>
    <w:unhideWhenUsed/>
    <w:qFormat/>
    <w:rsid w:val="00DD6104"/>
    <w:pPr>
      <w:numPr>
        <w:numId w:val="0"/>
      </w:numPr>
      <w:suppressAutoHyphens w:val="0"/>
      <w:spacing w:before="240" w:after="0" w:line="259" w:lineRule="auto"/>
      <w:jc w:val="left"/>
      <w:outlineLvl w:val="9"/>
    </w:pPr>
    <w:rPr>
      <w:b w:val="0"/>
      <w:color w:val="2E74B5" w:themeColor="accent1" w:themeShade="BF"/>
      <w:sz w:val="32"/>
      <w:lang w:eastAsia="cs-CZ"/>
    </w:rPr>
  </w:style>
  <w:style w:type="paragraph" w:styleId="Obsah1">
    <w:name w:val="toc 1"/>
    <w:basedOn w:val="Normln"/>
    <w:next w:val="Normln"/>
    <w:autoRedefine/>
    <w:uiPriority w:val="39"/>
    <w:unhideWhenUsed/>
    <w:rsid w:val="007472DF"/>
    <w:pPr>
      <w:spacing w:after="0"/>
    </w:pPr>
    <w:rPr>
      <w:b/>
    </w:rPr>
  </w:style>
  <w:style w:type="paragraph" w:styleId="Obsah2">
    <w:name w:val="toc 2"/>
    <w:basedOn w:val="Normln"/>
    <w:next w:val="Normln"/>
    <w:autoRedefine/>
    <w:uiPriority w:val="39"/>
    <w:unhideWhenUsed/>
    <w:rsid w:val="007472DF"/>
    <w:pPr>
      <w:spacing w:after="0"/>
      <w:ind w:left="221"/>
    </w:pPr>
  </w:style>
  <w:style w:type="paragraph" w:styleId="Obsah3">
    <w:name w:val="toc 3"/>
    <w:basedOn w:val="Normln"/>
    <w:next w:val="Normln"/>
    <w:autoRedefine/>
    <w:uiPriority w:val="39"/>
    <w:unhideWhenUsed/>
    <w:rsid w:val="00DD6104"/>
    <w:pPr>
      <w:spacing w:after="100"/>
      <w:ind w:left="440"/>
    </w:pPr>
  </w:style>
  <w:style w:type="paragraph" w:styleId="Zhlav">
    <w:name w:val="header"/>
    <w:basedOn w:val="Normln"/>
    <w:link w:val="ZhlavChar"/>
    <w:uiPriority w:val="99"/>
    <w:unhideWhenUsed/>
    <w:rsid w:val="00D67E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7EFE"/>
  </w:style>
  <w:style w:type="paragraph" w:styleId="Zpat">
    <w:name w:val="footer"/>
    <w:basedOn w:val="Normln"/>
    <w:link w:val="ZpatChar"/>
    <w:uiPriority w:val="99"/>
    <w:unhideWhenUsed/>
    <w:rsid w:val="00D67EFE"/>
    <w:pPr>
      <w:tabs>
        <w:tab w:val="center" w:pos="4536"/>
        <w:tab w:val="right" w:pos="9072"/>
      </w:tabs>
      <w:spacing w:after="0" w:line="240" w:lineRule="auto"/>
    </w:pPr>
  </w:style>
  <w:style w:type="character" w:customStyle="1" w:styleId="ZpatChar">
    <w:name w:val="Zápatí Char"/>
    <w:basedOn w:val="Standardnpsmoodstavce"/>
    <w:link w:val="Zpat"/>
    <w:uiPriority w:val="99"/>
    <w:rsid w:val="00D67EFE"/>
  </w:style>
  <w:style w:type="paragraph" w:customStyle="1" w:styleId="Default">
    <w:name w:val="Default"/>
    <w:rsid w:val="00AA6106"/>
    <w:pPr>
      <w:autoSpaceDE w:val="0"/>
      <w:autoSpaceDN w:val="0"/>
      <w:adjustRightInd w:val="0"/>
      <w:spacing w:after="0" w:line="240" w:lineRule="auto"/>
    </w:pPr>
    <w:rPr>
      <w:rFonts w:ascii="Calibri" w:hAnsi="Calibri" w:cs="Calibri"/>
      <w:color w:val="000000"/>
      <w:sz w:val="24"/>
      <w:szCs w:val="24"/>
    </w:rPr>
  </w:style>
  <w:style w:type="paragraph" w:styleId="Zkladntext">
    <w:name w:val="Body Text"/>
    <w:basedOn w:val="Normln"/>
    <w:link w:val="ZkladntextChar"/>
    <w:uiPriority w:val="99"/>
    <w:unhideWhenUsed/>
    <w:rsid w:val="00FB6CA0"/>
  </w:style>
  <w:style w:type="character" w:customStyle="1" w:styleId="ZkladntextChar">
    <w:name w:val="Základní text Char"/>
    <w:basedOn w:val="Standardnpsmoodstavce"/>
    <w:link w:val="Zkladntext"/>
    <w:uiPriority w:val="99"/>
    <w:rsid w:val="00FB6CA0"/>
  </w:style>
  <w:style w:type="character" w:customStyle="1" w:styleId="Nevyeenzmnka1">
    <w:name w:val="Nevyřešená zmínka1"/>
    <w:basedOn w:val="Standardnpsmoodstavce"/>
    <w:uiPriority w:val="99"/>
    <w:semiHidden/>
    <w:unhideWhenUsed/>
    <w:rsid w:val="004A5A48"/>
    <w:rPr>
      <w:color w:val="605E5C"/>
      <w:shd w:val="clear" w:color="auto" w:fill="E1DFDD"/>
    </w:rPr>
  </w:style>
  <w:style w:type="paragraph" w:styleId="Normlnweb">
    <w:name w:val="Normal (Web)"/>
    <w:basedOn w:val="Normln"/>
    <w:uiPriority w:val="99"/>
    <w:unhideWhenUsed/>
    <w:rsid w:val="006804A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seznamliteratury0">
    <w:name w:val="seznam literatury"/>
    <w:basedOn w:val="Zkladntext"/>
    <w:link w:val="seznamliteraturyChar0"/>
    <w:rsid w:val="00AC10B0"/>
    <w:pPr>
      <w:ind w:left="142" w:hanging="142"/>
      <w:jc w:val="left"/>
    </w:pPr>
  </w:style>
  <w:style w:type="character" w:customStyle="1" w:styleId="seznamliteraturyChar0">
    <w:name w:val="seznam literatury Char"/>
    <w:basedOn w:val="ZkladntextChar"/>
    <w:link w:val="seznamliteratury0"/>
    <w:rsid w:val="00AC10B0"/>
  </w:style>
  <w:style w:type="character" w:styleId="Siln">
    <w:name w:val="Strong"/>
    <w:basedOn w:val="Standardnpsmoodstavce"/>
    <w:uiPriority w:val="22"/>
    <w:qFormat/>
    <w:rsid w:val="00660E04"/>
    <w:rPr>
      <w:b/>
      <w:bCs/>
    </w:rPr>
  </w:style>
  <w:style w:type="character" w:customStyle="1" w:styleId="mord">
    <w:name w:val="mord"/>
    <w:basedOn w:val="Standardnpsmoodstavce"/>
    <w:rsid w:val="00AD718F"/>
  </w:style>
  <w:style w:type="character" w:customStyle="1" w:styleId="mrel">
    <w:name w:val="mrel"/>
    <w:basedOn w:val="Standardnpsmoodstavce"/>
    <w:rsid w:val="00AD718F"/>
  </w:style>
  <w:style w:type="character" w:customStyle="1" w:styleId="mpunct">
    <w:name w:val="mpunct"/>
    <w:basedOn w:val="Standardnpsmoodstavce"/>
    <w:rsid w:val="00AD718F"/>
  </w:style>
  <w:style w:type="character" w:customStyle="1" w:styleId="mbin">
    <w:name w:val="mbin"/>
    <w:basedOn w:val="Standardnpsmoodstavce"/>
    <w:rsid w:val="00AD718F"/>
  </w:style>
  <w:style w:type="character" w:customStyle="1" w:styleId="vlist-s">
    <w:name w:val="vlist-s"/>
    <w:basedOn w:val="Standardnpsmoodstavce"/>
    <w:rsid w:val="00AD7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93005">
      <w:bodyDiv w:val="1"/>
      <w:marLeft w:val="0"/>
      <w:marRight w:val="0"/>
      <w:marTop w:val="0"/>
      <w:marBottom w:val="0"/>
      <w:divBdr>
        <w:top w:val="none" w:sz="0" w:space="0" w:color="auto"/>
        <w:left w:val="none" w:sz="0" w:space="0" w:color="auto"/>
        <w:bottom w:val="none" w:sz="0" w:space="0" w:color="auto"/>
        <w:right w:val="none" w:sz="0" w:space="0" w:color="auto"/>
      </w:divBdr>
    </w:div>
    <w:div w:id="673262922">
      <w:bodyDiv w:val="1"/>
      <w:marLeft w:val="0"/>
      <w:marRight w:val="0"/>
      <w:marTop w:val="0"/>
      <w:marBottom w:val="0"/>
      <w:divBdr>
        <w:top w:val="none" w:sz="0" w:space="0" w:color="auto"/>
        <w:left w:val="none" w:sz="0" w:space="0" w:color="auto"/>
        <w:bottom w:val="none" w:sz="0" w:space="0" w:color="auto"/>
        <w:right w:val="none" w:sz="0" w:space="0" w:color="auto"/>
      </w:divBdr>
    </w:div>
    <w:div w:id="681973047">
      <w:bodyDiv w:val="1"/>
      <w:marLeft w:val="0"/>
      <w:marRight w:val="0"/>
      <w:marTop w:val="0"/>
      <w:marBottom w:val="0"/>
      <w:divBdr>
        <w:top w:val="none" w:sz="0" w:space="0" w:color="auto"/>
        <w:left w:val="none" w:sz="0" w:space="0" w:color="auto"/>
        <w:bottom w:val="none" w:sz="0" w:space="0" w:color="auto"/>
        <w:right w:val="none" w:sz="0" w:space="0" w:color="auto"/>
      </w:divBdr>
    </w:div>
    <w:div w:id="807665912">
      <w:bodyDiv w:val="1"/>
      <w:marLeft w:val="0"/>
      <w:marRight w:val="0"/>
      <w:marTop w:val="0"/>
      <w:marBottom w:val="0"/>
      <w:divBdr>
        <w:top w:val="none" w:sz="0" w:space="0" w:color="auto"/>
        <w:left w:val="none" w:sz="0" w:space="0" w:color="auto"/>
        <w:bottom w:val="none" w:sz="0" w:space="0" w:color="auto"/>
        <w:right w:val="none" w:sz="0" w:space="0" w:color="auto"/>
      </w:divBdr>
    </w:div>
    <w:div w:id="921915106">
      <w:bodyDiv w:val="1"/>
      <w:marLeft w:val="0"/>
      <w:marRight w:val="0"/>
      <w:marTop w:val="0"/>
      <w:marBottom w:val="0"/>
      <w:divBdr>
        <w:top w:val="none" w:sz="0" w:space="0" w:color="auto"/>
        <w:left w:val="none" w:sz="0" w:space="0" w:color="auto"/>
        <w:bottom w:val="none" w:sz="0" w:space="0" w:color="auto"/>
        <w:right w:val="none" w:sz="0" w:space="0" w:color="auto"/>
      </w:divBdr>
    </w:div>
    <w:div w:id="1021279968">
      <w:bodyDiv w:val="1"/>
      <w:marLeft w:val="0"/>
      <w:marRight w:val="0"/>
      <w:marTop w:val="0"/>
      <w:marBottom w:val="0"/>
      <w:divBdr>
        <w:top w:val="none" w:sz="0" w:space="0" w:color="auto"/>
        <w:left w:val="none" w:sz="0" w:space="0" w:color="auto"/>
        <w:bottom w:val="none" w:sz="0" w:space="0" w:color="auto"/>
        <w:right w:val="none" w:sz="0" w:space="0" w:color="auto"/>
      </w:divBdr>
    </w:div>
    <w:div w:id="1114254388">
      <w:bodyDiv w:val="1"/>
      <w:marLeft w:val="0"/>
      <w:marRight w:val="0"/>
      <w:marTop w:val="0"/>
      <w:marBottom w:val="0"/>
      <w:divBdr>
        <w:top w:val="none" w:sz="0" w:space="0" w:color="auto"/>
        <w:left w:val="none" w:sz="0" w:space="0" w:color="auto"/>
        <w:bottom w:val="none" w:sz="0" w:space="0" w:color="auto"/>
        <w:right w:val="none" w:sz="0" w:space="0" w:color="auto"/>
      </w:divBdr>
    </w:div>
    <w:div w:id="1446466879">
      <w:bodyDiv w:val="1"/>
      <w:marLeft w:val="0"/>
      <w:marRight w:val="0"/>
      <w:marTop w:val="0"/>
      <w:marBottom w:val="0"/>
      <w:divBdr>
        <w:top w:val="none" w:sz="0" w:space="0" w:color="auto"/>
        <w:left w:val="none" w:sz="0" w:space="0" w:color="auto"/>
        <w:bottom w:val="none" w:sz="0" w:space="0" w:color="auto"/>
        <w:right w:val="none" w:sz="0" w:space="0" w:color="auto"/>
      </w:divBdr>
    </w:div>
    <w:div w:id="1509708462">
      <w:bodyDiv w:val="1"/>
      <w:marLeft w:val="0"/>
      <w:marRight w:val="0"/>
      <w:marTop w:val="0"/>
      <w:marBottom w:val="0"/>
      <w:divBdr>
        <w:top w:val="none" w:sz="0" w:space="0" w:color="auto"/>
        <w:left w:val="none" w:sz="0" w:space="0" w:color="auto"/>
        <w:bottom w:val="none" w:sz="0" w:space="0" w:color="auto"/>
        <w:right w:val="none" w:sz="0" w:space="0" w:color="auto"/>
      </w:divBdr>
    </w:div>
    <w:div w:id="1544052157">
      <w:bodyDiv w:val="1"/>
      <w:marLeft w:val="0"/>
      <w:marRight w:val="0"/>
      <w:marTop w:val="0"/>
      <w:marBottom w:val="0"/>
      <w:divBdr>
        <w:top w:val="none" w:sz="0" w:space="0" w:color="auto"/>
        <w:left w:val="none" w:sz="0" w:space="0" w:color="auto"/>
        <w:bottom w:val="none" w:sz="0" w:space="0" w:color="auto"/>
        <w:right w:val="none" w:sz="0" w:space="0" w:color="auto"/>
      </w:divBdr>
    </w:div>
    <w:div w:id="1545410675">
      <w:bodyDiv w:val="1"/>
      <w:marLeft w:val="0"/>
      <w:marRight w:val="0"/>
      <w:marTop w:val="0"/>
      <w:marBottom w:val="0"/>
      <w:divBdr>
        <w:top w:val="none" w:sz="0" w:space="0" w:color="auto"/>
        <w:left w:val="none" w:sz="0" w:space="0" w:color="auto"/>
        <w:bottom w:val="none" w:sz="0" w:space="0" w:color="auto"/>
        <w:right w:val="none" w:sz="0" w:space="0" w:color="auto"/>
      </w:divBdr>
    </w:div>
    <w:div w:id="1611550020">
      <w:bodyDiv w:val="1"/>
      <w:marLeft w:val="0"/>
      <w:marRight w:val="0"/>
      <w:marTop w:val="0"/>
      <w:marBottom w:val="0"/>
      <w:divBdr>
        <w:top w:val="none" w:sz="0" w:space="0" w:color="auto"/>
        <w:left w:val="none" w:sz="0" w:space="0" w:color="auto"/>
        <w:bottom w:val="none" w:sz="0" w:space="0" w:color="auto"/>
        <w:right w:val="none" w:sz="0" w:space="0" w:color="auto"/>
      </w:divBdr>
    </w:div>
    <w:div w:id="1738042679">
      <w:bodyDiv w:val="1"/>
      <w:marLeft w:val="0"/>
      <w:marRight w:val="0"/>
      <w:marTop w:val="0"/>
      <w:marBottom w:val="0"/>
      <w:divBdr>
        <w:top w:val="none" w:sz="0" w:space="0" w:color="auto"/>
        <w:left w:val="none" w:sz="0" w:space="0" w:color="auto"/>
        <w:bottom w:val="none" w:sz="0" w:space="0" w:color="auto"/>
        <w:right w:val="none" w:sz="0" w:space="0" w:color="auto"/>
      </w:divBdr>
    </w:div>
    <w:div w:id="1789616916">
      <w:bodyDiv w:val="1"/>
      <w:marLeft w:val="0"/>
      <w:marRight w:val="0"/>
      <w:marTop w:val="0"/>
      <w:marBottom w:val="0"/>
      <w:divBdr>
        <w:top w:val="none" w:sz="0" w:space="0" w:color="auto"/>
        <w:left w:val="none" w:sz="0" w:space="0" w:color="auto"/>
        <w:bottom w:val="none" w:sz="0" w:space="0" w:color="auto"/>
        <w:right w:val="none" w:sz="0" w:space="0" w:color="auto"/>
      </w:divBdr>
    </w:div>
    <w:div w:id="1826701883">
      <w:bodyDiv w:val="1"/>
      <w:marLeft w:val="0"/>
      <w:marRight w:val="0"/>
      <w:marTop w:val="0"/>
      <w:marBottom w:val="0"/>
      <w:divBdr>
        <w:top w:val="none" w:sz="0" w:space="0" w:color="auto"/>
        <w:left w:val="none" w:sz="0" w:space="0" w:color="auto"/>
        <w:bottom w:val="none" w:sz="0" w:space="0" w:color="auto"/>
        <w:right w:val="none" w:sz="0" w:space="0" w:color="auto"/>
      </w:divBdr>
    </w:div>
    <w:div w:id="1836916738">
      <w:bodyDiv w:val="1"/>
      <w:marLeft w:val="0"/>
      <w:marRight w:val="0"/>
      <w:marTop w:val="0"/>
      <w:marBottom w:val="0"/>
      <w:divBdr>
        <w:top w:val="none" w:sz="0" w:space="0" w:color="auto"/>
        <w:left w:val="none" w:sz="0" w:space="0" w:color="auto"/>
        <w:bottom w:val="none" w:sz="0" w:space="0" w:color="auto"/>
        <w:right w:val="none" w:sz="0" w:space="0" w:color="auto"/>
      </w:divBdr>
    </w:div>
    <w:div w:id="200916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or.justice.cz/ias/ui/rejstrik-$firma?jenPlatne=PLATNE&amp;nazev=kosteleck%C3%A9+uzeniny&amp;polozek=50&amp;typHledani=STARTS_WITH"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B4421CFC579A4449DC25ACBD6176571" ma:contentTypeVersion="2" ma:contentTypeDescription="Vytvoří nový dokument" ma:contentTypeScope="" ma:versionID="571ac08f18df58b33840592d245cde2d">
  <xsd:schema xmlns:xsd="http://www.w3.org/2001/XMLSchema" xmlns:xs="http://www.w3.org/2001/XMLSchema" xmlns:p="http://schemas.microsoft.com/office/2006/metadata/properties" xmlns:ns2="921a4a19-005d-42bf-a6ee-1c0f1cd55622" targetNamespace="http://schemas.microsoft.com/office/2006/metadata/properties" ma:root="true" ma:fieldsID="4559ad2502f86f60dcde6a0f6b3f7266" ns2:_="">
    <xsd:import namespace="921a4a19-005d-42bf-a6ee-1c0f1cd5562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1a4a19-005d-42bf-a6ee-1c0f1cd5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FFD29-1655-4745-B98A-D2176553F6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3BE389-7B29-434B-B1CF-B3CD8147155D}">
  <ds:schemaRefs>
    <ds:schemaRef ds:uri="http://schemas.microsoft.com/sharepoint/v3/contenttype/forms"/>
  </ds:schemaRefs>
</ds:datastoreItem>
</file>

<file path=customXml/itemProps3.xml><?xml version="1.0" encoding="utf-8"?>
<ds:datastoreItem xmlns:ds="http://schemas.openxmlformats.org/officeDocument/2006/customXml" ds:itemID="{39479F38-04E1-4F20-8368-93CF97CC1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1a4a19-005d-42bf-a6ee-1c0f1cd55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336845-0B37-4088-AB64-783C0ADA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2276</Words>
  <Characters>13430</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Stanislava Dvořáková, Ph.D.</dc:creator>
  <cp:keywords/>
  <dc:description/>
  <cp:lastModifiedBy>Vonková Barbara</cp:lastModifiedBy>
  <cp:revision>2</cp:revision>
  <cp:lastPrinted>2021-01-11T20:11:00Z</cp:lastPrinted>
  <dcterms:created xsi:type="dcterms:W3CDTF">2025-10-23T08:57:00Z</dcterms:created>
  <dcterms:modified xsi:type="dcterms:W3CDTF">2025-10-23T08:57:00Z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0x010100AB4421CFC579A4449DC25ACBD6176571</vt:lpwstr>
  </property>
</Properties>
</file>